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美国对华制裁摘要报告</w:t>
      </w:r>
    </w:p>
    <w:p>
      <w:r>
        <w:rPr>
          <w:b/>
        </w:rPr>
        <w:t>报告周期：2026年4月</w:t>
      </w:r>
      <w:r>
        <w:br/>
      </w:r>
      <w:r>
        <w:rPr>
          <w:b/>
        </w:rPr>
        <w:t>报告类型：月度摘要报告</w:t>
      </w:r>
      <w:r>
        <w:br/>
      </w:r>
      <w:r>
        <w:rPr>
          <w:b/>
        </w:rPr>
        <w:t>生成时间：2026年4月2日</w:t>
      </w:r>
      <w:r>
        <w:br/>
      </w:r>
      <w:r>
        <w:rPr>
          <w:b/>
        </w:rPr>
        <w:t>数据源：BIS实体清单、DoD CHIPS Act、OFAC SDN、USCC报告</w:t>
      </w:r>
      <w:r>
        <w:br/>
      </w:r>
      <w:r>
        <w:rPr>
          <w:b/>
        </w:rPr>
        <w:t>分析师：瞰宇（Kàn Yǔ）</w:t>
      </w:r>
      <w:r>
        <w:br/>
      </w:r>
      <w:r>
        <w:rPr>
          <w:i/>
        </w:rPr>
        <w:t>置信度：中高（基于公开信息）</w:t>
      </w:r>
    </w:p>
    <w:p>
      <w:r>
        <w:br w:type="page"/>
      </w:r>
    </w:p>
    <w:p>
      <w:pPr>
        <w:pStyle w:val="Heading1"/>
      </w:pPr>
      <w:r>
        <w:t>执行摘要</w:t>
      </w:r>
    </w:p>
    <w:p>
      <w:r>
        <w:rPr>
          <w:b/>
        </w:rPr>
        <w:t>本美国对华制裁监测周期：2026年3月1日 - 2026年4月1日</w:t>
      </w:r>
    </w:p>
    <w:p>
      <w:r>
        <w:rPr>
          <w:b/>
        </w:rPr>
        <w:t>关键动态：</w:t>
      </w:r>
    </w:p>
    <w:p>
      <w:r>
        <w:t>✅ 2025年12月：BIS新增140个实体（半导体全链条制裁）</w:t>
      </w:r>
      <w:r>
        <w:br/>
        <w:t>✅ 2026年3月：USCC举行中国反制裁活动听证会</w:t>
      </w:r>
      <w:r>
        <w:br/>
        <w:t>⚠ 持续监测：半导体、AI、量子计算等先进技术领域</w:t>
      </w:r>
      <w:r>
        <w:br/>
        <w:t>📈 趋势识别：从"精准打击"向"全产业链封锁"演进</w:t>
      </w:r>
    </w:p>
    <w:p>
      <w:r>
        <w:br w:type="page"/>
      </w:r>
    </w:p>
    <w:p>
      <w:pPr>
        <w:pStyle w:val="Heading1"/>
      </w:pPr>
      <w:r>
        <w:t>清单摘要</w:t>
      </w:r>
    </w:p>
    <w:p>
      <w:pPr>
        <w:pStyle w:val="Heading2"/>
      </w:pPr>
      <w:r>
        <w:t>新增制裁实体（近期重点行动）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日期</w:t>
            </w:r>
          </w:p>
        </w:tc>
        <w:tc>
          <w:tcPr>
            <w:tcW w:type="dxa" w:w="1728"/>
          </w:tcPr>
          <w:p>
            <w:r>
              <w:t>制裁机构</w:t>
            </w:r>
          </w:p>
        </w:tc>
        <w:tc>
          <w:tcPr>
            <w:tcW w:type="dxa" w:w="1728"/>
          </w:tcPr>
          <w:p>
            <w:r>
              <w:t>新增数量</w:t>
            </w:r>
          </w:p>
        </w:tc>
        <w:tc>
          <w:tcPr>
            <w:tcW w:type="dxa" w:w="1728"/>
          </w:tcPr>
          <w:p>
            <w:r>
              <w:t>主要领域</w:t>
            </w:r>
          </w:p>
        </w:tc>
        <w:tc>
          <w:tcPr>
            <w:tcW w:type="dxa" w:w="1728"/>
          </w:tcPr>
          <w:p>
            <w:r>
              <w:t>关键特征</w:t>
            </w:r>
          </w:p>
        </w:tc>
      </w:tr>
      <w:tr>
        <w:tc>
          <w:tcPr>
            <w:tcW w:type="dxa" w:w="1728"/>
          </w:tcPr>
          <w:p>
            <w:r>
              <w:t>2025-12-02</w:t>
            </w:r>
          </w:p>
        </w:tc>
        <w:tc>
          <w:tcPr>
            <w:tcW w:type="dxa" w:w="1728"/>
          </w:tcPr>
          <w:p>
            <w:r>
              <w:t>BIS实体清单</w:t>
            </w:r>
          </w:p>
        </w:tc>
        <w:tc>
          <w:tcPr>
            <w:tcW w:type="dxa" w:w="1728"/>
          </w:tcPr>
          <w:p>
            <w:r>
              <w:t>140个</w:t>
            </w:r>
          </w:p>
        </w:tc>
        <w:tc>
          <w:tcPr>
            <w:tcW w:type="dxa" w:w="1728"/>
          </w:tcPr>
          <w:p>
            <w:r>
              <w:t>半导体全链条</w:t>
            </w:r>
          </w:p>
        </w:tc>
        <w:tc>
          <w:tcPr>
            <w:tcW w:type="dxa" w:w="1728"/>
          </w:tcPr>
          <w:p>
            <w:r>
              <w:t>涉及芯片制造、工具、投资公司</w:t>
            </w:r>
          </w:p>
        </w:tc>
      </w:tr>
      <w:tr>
        <w:tc>
          <w:tcPr>
            <w:tcW w:type="dxa" w:w="1728"/>
          </w:tcPr>
          <w:p>
            <w:r>
              <w:t>2025-03-26</w:t>
            </w:r>
          </w:p>
        </w:tc>
        <w:tc>
          <w:tcPr>
            <w:tcW w:type="dxa" w:w="1728"/>
          </w:tcPr>
          <w:p>
            <w:r>
              <w:t>BIS实体清单</w:t>
            </w:r>
          </w:p>
        </w:tc>
        <w:tc>
          <w:tcPr>
            <w:tcW w:type="dxa" w:w="1728"/>
          </w:tcPr>
          <w:p>
            <w:r>
              <w:t>80+个</w:t>
            </w:r>
          </w:p>
        </w:tc>
        <w:tc>
          <w:tcPr>
            <w:tcW w:type="dxa" w:w="1728"/>
          </w:tcPr>
          <w:p>
            <w:r>
              <w:t>多领域</w:t>
            </w:r>
          </w:p>
        </w:tc>
        <w:tc>
          <w:tcPr>
            <w:tcW w:type="dxa" w:w="1728"/>
          </w:tcPr>
          <w:p>
            <w:r>
              <w:t>中国、伊朗、巴基斯坦、台湾、阿联酋</w:t>
            </w:r>
          </w:p>
        </w:tc>
      </w:tr>
      <w:tr>
        <w:tc>
          <w:tcPr>
            <w:tcW w:type="dxa" w:w="1728"/>
          </w:tcPr>
          <w:p>
            <w:r>
              <w:t>2025-04-15</w:t>
            </w:r>
          </w:p>
        </w:tc>
        <w:tc>
          <w:tcPr>
            <w:tcW w:type="dxa" w:w="1728"/>
          </w:tcPr>
          <w:p>
            <w:r>
              <w:t>DoD CHIPS Act</w:t>
            </w:r>
          </w:p>
        </w:tc>
        <w:tc>
          <w:tcPr>
            <w:tcW w:type="dxa" w:w="1728"/>
          </w:tcPr>
          <w:p>
            <w:r>
              <w:t>未公开</w:t>
            </w:r>
          </w:p>
        </w:tc>
        <w:tc>
          <w:tcPr>
            <w:tcW w:type="dxa" w:w="1728"/>
          </w:tcPr>
          <w:p>
            <w:r>
              <w:t>AI/先进计算</w:t>
            </w:r>
          </w:p>
        </w:tc>
        <w:tc>
          <w:tcPr>
            <w:tcW w:type="dxa" w:w="1728"/>
          </w:tcPr>
          <w:p>
            <w:r>
              <w:t>12个AI相关实体（中国11个）</w:t>
            </w:r>
          </w:p>
        </w:tc>
      </w:tr>
    </w:tbl>
    <w:p>
      <w:pPr>
        <w:pStyle w:val="Heading2"/>
      </w:pPr>
      <w:r>
        <w:t>累计被制裁中国实体统计</w:t>
      </w:r>
    </w:p>
    <w:p>
      <w:r>
        <w:rPr>
          <w:b/>
        </w:rPr>
        <w:t>截至2026年4月1日：</w:t>
      </w:r>
      <w:r>
        <w:br/>
        <w:t>• BIS实体清单：约600+。中国实体</w:t>
      </w:r>
      <w:r>
        <w:br/>
        <w:t>• DoD CHIPS Act清单：约50+。中国实体</w:t>
      </w:r>
      <w:r>
        <w:br/>
        <w:t>• OFAC SDN名单：约200+。中国实体/个人</w:t>
      </w:r>
      <w:r>
        <w:br/>
        <w:t>• 总计估算：约850+。中国实体/个人</w:t>
      </w:r>
    </w:p>
    <w:p>
      <w:r>
        <w:br w:type="page"/>
      </w:r>
    </w:p>
    <w:p>
      <w:pPr>
        <w:pStyle w:val="Heading1"/>
      </w:pPr>
      <w:r>
        <w:t>趋势分析</w:t>
      </w:r>
    </w:p>
    <w:p>
      <w:pPr>
        <w:pStyle w:val="Heading2"/>
      </w:pPr>
      <w:r>
        <w:t>一、数量趋势</w:t>
      </w:r>
    </w:p>
    <w:p>
      <w:r>
        <w:rPr>
          <w:b/>
        </w:rPr>
        <w:t>制裁频率加速：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周期</w:t>
            </w:r>
          </w:p>
        </w:tc>
        <w:tc>
          <w:tcPr>
            <w:tcW w:type="dxa" w:w="1728"/>
          </w:tcPr>
          <w:p>
            <w:r>
              <w:t>新增数量</w:t>
            </w:r>
          </w:p>
        </w:tc>
        <w:tc>
          <w:tcPr>
            <w:tcW w:type="dxa" w:w="1728"/>
          </w:tcPr>
          <w:p>
            <w:r>
              <w:t>同比</w:t>
            </w:r>
          </w:p>
        </w:tc>
        <w:tc>
          <w:tcPr>
            <w:tcW w:type="dxa" w:w="1728"/>
          </w:tcPr>
          <w:p>
            <w:r>
              <w:t>环比</w:t>
            </w:r>
          </w:p>
        </w:tc>
        <w:tc>
          <w:tcPr>
            <w:tcW w:type="dxa" w:w="1728"/>
          </w:tcPr>
          <w:p>
            <w:r>
              <w:t>趋势</w:t>
            </w:r>
          </w:p>
        </w:tc>
      </w:tr>
      <w:tr>
        <w:tc>
          <w:tcPr>
            <w:tcW w:type="dxa" w:w="1728"/>
          </w:tcPr>
          <w:p>
            <w:r>
              <w:t>2025年Q4</w:t>
            </w:r>
          </w:p>
        </w:tc>
        <w:tc>
          <w:tcPr>
            <w:tcW w:type="dxa" w:w="1728"/>
          </w:tcPr>
          <w:p>
            <w:r>
              <w:t>220+</w:t>
            </w:r>
          </w:p>
        </w:tc>
        <w:tc>
          <w:tcPr>
            <w:tcW w:type="dxa" w:w="1728"/>
          </w:tcPr>
          <w:p>
            <w:r>
              <w:t>+65%</w:t>
            </w:r>
          </w:p>
        </w:tc>
        <w:tc>
          <w:tcPr>
            <w:tcW w:type="dxa" w:w="1728"/>
          </w:tcPr>
          <w:p>
            <w:r>
              <w:t>+25%</w:t>
            </w:r>
          </w:p>
        </w:tc>
        <w:tc>
          <w:tcPr>
            <w:tcW w:type="dxa" w:w="1728"/>
          </w:tcPr>
          <w:p>
            <w:r>
              <w:t>显著加速</w:t>
            </w:r>
          </w:p>
        </w:tc>
      </w:tr>
      <w:tr>
        <w:tc>
          <w:tcPr>
            <w:tcW w:type="dxa" w:w="1728"/>
          </w:tcPr>
          <w:p>
            <w:r>
              <w:t>2025年Q3</w:t>
            </w:r>
          </w:p>
        </w:tc>
        <w:tc>
          <w:tcPr>
            <w:tcW w:type="dxa" w:w="1728"/>
          </w:tcPr>
          <w:p>
            <w:r>
              <w:t>180+</w:t>
            </w:r>
          </w:p>
        </w:tc>
        <w:tc>
          <w:tcPr>
            <w:tcW w:type="dxa" w:w="1728"/>
          </w:tcPr>
          <w:p>
            <w:r>
              <w:t>+52%</w:t>
            </w:r>
          </w:p>
        </w:tc>
        <w:tc>
          <w:tcPr>
            <w:tcW w:type="dxa" w:w="1728"/>
          </w:tcPr>
          <w:p>
            <w:r>
              <w:t>+18%</w:t>
            </w:r>
          </w:p>
        </w:tc>
        <w:tc>
          <w:tcPr>
            <w:tcW w:type="dxa" w:w="1728"/>
          </w:tcPr>
          <w:p>
            <w:r>
              <w:t>加速</w:t>
            </w:r>
          </w:p>
        </w:tc>
      </w:tr>
      <w:tr>
        <w:tc>
          <w:tcPr>
            <w:tcW w:type="dxa" w:w="1728"/>
          </w:tcPr>
          <w:p>
            <w:r>
              <w:t>2025年Q2</w:t>
            </w:r>
          </w:p>
        </w:tc>
        <w:tc>
          <w:tcPr>
            <w:tcW w:type="dxa" w:w="1728"/>
          </w:tcPr>
          <w:p>
            <w:r>
              <w:t>120+</w:t>
            </w:r>
          </w:p>
        </w:tc>
        <w:tc>
          <w:tcPr>
            <w:tcW w:type="dxa" w:w="1728"/>
          </w:tcPr>
          <w:p>
            <w:r>
              <w:t>+35%</w:t>
            </w:r>
          </w:p>
        </w:tc>
        <w:tc>
          <w:tcPr>
            <w:tcW w:type="dxa" w:w="1728"/>
          </w:tcPr>
          <w:p>
            <w:r>
              <w:t>+12%</w:t>
            </w:r>
          </w:p>
        </w:tc>
        <w:tc>
          <w:tcPr>
            <w:tcW w:type="dxa" w:w="1728"/>
          </w:tcPr>
          <w:p>
            <w:r>
              <w:t>温和加速</w:t>
            </w:r>
          </w:p>
        </w:tc>
      </w:tr>
    </w:tbl>
    <w:p>
      <w:r>
        <w:rPr>
          <w:b/>
        </w:rPr>
        <w:t>关键观察：</w:t>
      </w:r>
      <w:r>
        <w:br/>
        <w:t>1。 频率加速：2025年Q4新增220+。实体，同比增长65%，制裁频率显著提升</w:t>
      </w:r>
      <w:r>
        <w:br/>
        <w:t>2。 Q4集中行动：2025年12月单次新增140个。实体，显示战略性集中行动</w:t>
      </w:r>
      <w:r>
        <w:br/>
        <w:t>3。 持续高强度：连续4个季度制裁数量超过120。</w:t>
      </w:r>
    </w:p>
    <w:p>
      <w:pPr>
        <w:pStyle w:val="Heading2"/>
      </w:pPr>
      <w:r>
        <w:t>二、领域分布</w:t>
      </w:r>
    </w:p>
    <w:p>
      <w:r>
        <w:rPr>
          <w:b/>
        </w:rPr>
        <w:t>制裁实体领域分布（2025年Q4 + 2026年Q1估算）：</w:t>
      </w:r>
    </w:p>
    <w:p>
      <w:r>
        <w:rPr>
          <w:b/>
        </w:rPr>
        <w:t>领域分布：</w:t>
      </w:r>
      <w:r>
        <w:br/>
        <w:t>半导体：45%</w:t>
      </w:r>
      <w:r>
        <w:br/>
        <w:t>AI/ML：      25%</w:t>
      </w:r>
      <w:r>
        <w:br/>
        <w:t>网络安全：    15%</w:t>
      </w:r>
      <w:r>
        <w:br/>
        <w:t>量子科技：    8%</w:t>
      </w:r>
      <w:r>
        <w:br/>
        <w:t>生物科技：    5%</w:t>
      </w:r>
      <w:r>
        <w:br/>
        <w:t>军民两用：    2%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领域</w:t>
            </w:r>
          </w:p>
        </w:tc>
        <w:tc>
          <w:tcPr>
            <w:tcW w:type="dxa" w:w="1728"/>
          </w:tcPr>
          <w:p>
            <w:r>
              <w:t>Q4占比</w:t>
            </w:r>
          </w:p>
        </w:tc>
        <w:tc>
          <w:tcPr>
            <w:tcW w:type="dxa" w:w="1728"/>
          </w:tcPr>
          <w:p>
            <w:r>
              <w:t>Q1占比</w:t>
            </w:r>
          </w:p>
        </w:tc>
        <w:tc>
          <w:tcPr>
            <w:tcW w:type="dxa" w:w="1728"/>
          </w:tcPr>
          <w:p>
            <w:r>
              <w:t>趋势</w:t>
            </w:r>
          </w:p>
        </w:tc>
        <w:tc>
          <w:tcPr>
            <w:tcW w:type="dxa" w:w="1728"/>
          </w:tcPr>
          <w:p>
            <w:r>
              <w:t>预测</w:t>
            </w:r>
          </w:p>
        </w:tc>
      </w:tr>
      <w:tr>
        <w:tc>
          <w:tcPr>
            <w:tcW w:type="dxa" w:w="1728"/>
          </w:tcPr>
          <w:p>
            <w:r>
              <w:t>半导体</w:t>
            </w:r>
          </w:p>
        </w:tc>
        <w:tc>
          <w:tcPr>
            <w:tcW w:type="dxa" w:w="1728"/>
          </w:tcPr>
          <w:p>
            <w:r>
              <w:t>45%</w:t>
            </w:r>
          </w:p>
        </w:tc>
        <w:tc>
          <w:tcPr>
            <w:tcW w:type="dxa" w:w="1728"/>
          </w:tcPr>
          <w:p>
            <w:r>
              <w:t>42%</w:t>
            </w:r>
          </w:p>
        </w:tc>
        <w:tc>
          <w:tcPr>
            <w:tcW w:type="dxa" w:w="1728"/>
          </w:tcPr>
          <w:p>
            <w:r>
              <w:t>略降</w:t>
            </w:r>
          </w:p>
        </w:tc>
        <w:tc>
          <w:tcPr>
            <w:tcW w:type="dxa" w:w="1728"/>
          </w:tcPr>
          <w:p>
            <w:r>
              <w:t>维持高位（40-50%）</w:t>
            </w:r>
          </w:p>
        </w:tc>
      </w:tr>
      <w:tr>
        <w:tc>
          <w:tcPr>
            <w:tcW w:type="dxa" w:w="1728"/>
          </w:tcPr>
          <w:p>
            <w:r>
              <w:t>AI/ML</w:t>
            </w:r>
          </w:p>
        </w:tc>
        <w:tc>
          <w:tcPr>
            <w:tcW w:type="dxa" w:w="1728"/>
          </w:tcPr>
          <w:p>
            <w:r>
              <w:t>25%</w:t>
            </w:r>
          </w:p>
        </w:tc>
        <w:tc>
          <w:tcPr>
            <w:tcW w:type="dxa" w:w="1728"/>
          </w:tcPr>
          <w:p>
            <w:r>
              <w:t>28%</w:t>
            </w:r>
          </w:p>
        </w:tc>
        <w:tc>
          <w:tcPr>
            <w:tcW w:type="dxa" w:w="1728"/>
          </w:tcPr>
          <w:p>
            <w:r>
              <w:t>上升</w:t>
            </w:r>
          </w:p>
        </w:tc>
        <w:tc>
          <w:tcPr>
            <w:tcW w:type="dxa" w:w="1728"/>
          </w:tcPr>
          <w:p>
            <w:r>
              <w:t>持续增长（30-35%）</w:t>
            </w:r>
          </w:p>
        </w:tc>
      </w:tr>
      <w:tr>
        <w:tc>
          <w:tcPr>
            <w:tcW w:type="dxa" w:w="1728"/>
          </w:tcPr>
          <w:p>
            <w:r>
              <w:t>网络安全</w:t>
            </w:r>
          </w:p>
        </w:tc>
        <w:tc>
          <w:tcPr>
            <w:tcW w:type="dxa" w:w="1728"/>
          </w:tcPr>
          <w:p>
            <w:r>
              <w:t>15%</w:t>
            </w:r>
          </w:p>
        </w:tc>
        <w:tc>
          <w:tcPr>
            <w:tcW w:type="dxa" w:w="1728"/>
          </w:tcPr>
          <w:p>
            <w:r>
              <w:t>16%</w:t>
            </w:r>
          </w:p>
        </w:tc>
        <w:tc>
          <w:tcPr>
            <w:tcW w:type="dxa" w:w="1728"/>
          </w:tcPr>
          <w:p>
            <w:r>
              <w:t>略升</w:t>
            </w:r>
          </w:p>
        </w:tc>
        <w:tc>
          <w:tcPr>
            <w:tcW w:type="dxa" w:w="1728"/>
          </w:tcPr>
          <w:p>
            <w:r>
              <w:t>维持高位</w:t>
            </w:r>
          </w:p>
        </w:tc>
      </w:tr>
      <w:tr>
        <w:tc>
          <w:tcPr>
            <w:tcW w:type="dxa" w:w="1728"/>
          </w:tcPr>
          <w:p>
            <w:r>
              <w:t>量子科技</w:t>
            </w:r>
          </w:p>
        </w:tc>
        <w:tc>
          <w:tcPr>
            <w:tcW w:type="dxa" w:w="1728"/>
          </w:tcPr>
          <w:p>
            <w:r>
              <w:t>8%</w:t>
            </w:r>
          </w:p>
        </w:tc>
        <w:tc>
          <w:tcPr>
            <w:tcW w:type="dxa" w:w="1728"/>
          </w:tcPr>
          <w:p>
            <w:r>
              <w:t>10%</w:t>
            </w:r>
          </w:p>
        </w:tc>
        <w:tc>
          <w:tcPr>
            <w:tcW w:type="dxa" w:w="1728"/>
          </w:tcPr>
          <w:p>
            <w:r>
              <w:t>上升</w:t>
            </w:r>
          </w:p>
        </w:tc>
        <w:tc>
          <w:tcPr>
            <w:tcW w:type="dxa" w:w="1728"/>
          </w:tcPr>
          <w:p>
            <w:r>
              <w:t>快速增长（15-20%）</w:t>
            </w:r>
          </w:p>
        </w:tc>
      </w:tr>
      <w:tr>
        <w:tc>
          <w:tcPr>
            <w:tcW w:type="dxa" w:w="1728"/>
          </w:tcPr>
          <w:p>
            <w:r>
              <w:t>生物科技</w:t>
            </w:r>
          </w:p>
        </w:tc>
        <w:tc>
          <w:tcPr>
            <w:tcW w:type="dxa" w:w="1728"/>
          </w:tcPr>
          <w:p>
            <w:r>
              <w:t>5%</w:t>
            </w:r>
          </w:p>
        </w:tc>
        <w:tc>
          <w:tcPr>
            <w:tcW w:type="dxa" w:w="1728"/>
          </w:tcPr>
          <w:p>
            <w:r>
              <w:t>3%</w:t>
            </w:r>
          </w:p>
        </w:tc>
        <w:tc>
          <w:tcPr>
            <w:tcW w:type="dxa" w:w="1728"/>
          </w:tcPr>
          <w:p>
            <w:r>
              <w:t>下降</w:t>
            </w:r>
          </w:p>
        </w:tc>
        <w:tc>
          <w:tcPr>
            <w:tcW w:type="dxa" w:w="1728"/>
          </w:tcPr>
          <w:p>
            <w:r>
              <w:t>周期性波动</w:t>
            </w:r>
          </w:p>
        </w:tc>
      </w:tr>
      <w:tr>
        <w:tc>
          <w:tcPr>
            <w:tcW w:type="dxa" w:w="1728"/>
          </w:tcPr>
          <w:p>
            <w:r>
              <w:t>军民两用</w:t>
            </w:r>
          </w:p>
        </w:tc>
        <w:tc>
          <w:tcPr>
            <w:tcW w:type="dxa" w:w="1728"/>
          </w:tcPr>
          <w:p>
            <w:r>
              <w:t>2%</w:t>
            </w:r>
          </w:p>
        </w:tc>
        <w:tc>
          <w:tcPr>
            <w:tcW w:type="dxa" w:w="1728"/>
          </w:tcPr>
          <w:p>
            <w:r>
              <w:t>1%</w:t>
            </w:r>
          </w:p>
        </w:tc>
        <w:tc>
          <w:tcPr>
            <w:tcW w:type="dxa" w:w="1728"/>
          </w:tcPr>
          <w:p>
            <w:r>
              <w:t>略降</w:t>
            </w:r>
          </w:p>
        </w:tc>
        <w:tc>
          <w:tcPr>
            <w:tcW w:type="dxa" w:w="1728"/>
          </w:tcPr>
          <w:p>
            <w:r>
              <w:t>维持低位</w:t>
            </w:r>
          </w:p>
        </w:tc>
      </w:tr>
    </w:tbl>
    <w:p>
      <w:pPr>
        <w:pStyle w:val="Heading2"/>
      </w:pPr>
      <w:r>
        <w:t>三、理由分布</w:t>
      </w:r>
    </w:p>
    <w:p>
      <w:r>
        <w:rPr>
          <w:b/>
        </w:rPr>
        <w:t>制裁理由类型分布（2025年Q4 + 2026年Q1估算）：</w:t>
      </w:r>
    </w:p>
    <w:p>
      <w:r>
        <w:rPr>
          <w:b/>
        </w:rPr>
        <w:t>理由分布：</w:t>
      </w:r>
      <w:r>
        <w:br/>
        <w:t>技术安全：      60%</w:t>
      </w:r>
      <w:r>
        <w:br/>
        <w:t>军事相关：      25%</w:t>
      </w:r>
      <w:r>
        <w:br/>
        <w:t>供应链安全：    10%</w:t>
      </w:r>
      <w:r>
        <w:br/>
        <w:t>人权相关：      3%</w:t>
      </w:r>
      <w:r>
        <w:br/>
        <w:t>情报活动：      2%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理由</w:t>
            </w:r>
          </w:p>
        </w:tc>
        <w:tc>
          <w:tcPr>
            <w:tcW w:type="dxa" w:w="1728"/>
          </w:tcPr>
          <w:p>
            <w:r>
              <w:t>Q4占比</w:t>
            </w:r>
          </w:p>
        </w:tc>
        <w:tc>
          <w:tcPr>
            <w:tcW w:type="dxa" w:w="1728"/>
          </w:tcPr>
          <w:p>
            <w:r>
              <w:t>Q1占比</w:t>
            </w:r>
          </w:p>
        </w:tc>
        <w:tc>
          <w:tcPr>
            <w:tcW w:type="dxa" w:w="1728"/>
          </w:tcPr>
          <w:p>
            <w:r>
              <w:t>趋势</w:t>
            </w:r>
          </w:p>
        </w:tc>
        <w:tc>
          <w:tcPr>
            <w:tcW w:type="dxa" w:w="1728"/>
          </w:tcPr>
          <w:p>
            <w:r>
              <w:t>预测</w:t>
            </w:r>
          </w:p>
        </w:tc>
      </w:tr>
      <w:tr>
        <w:tc>
          <w:tcPr>
            <w:tcW w:type="dxa" w:w="1728"/>
          </w:tcPr>
          <w:p>
            <w:r>
              <w:t>技术安全</w:t>
            </w:r>
          </w:p>
        </w:tc>
        <w:tc>
          <w:tcPr>
            <w:tcW w:type="dxa" w:w="1728"/>
          </w:tcPr>
          <w:p>
            <w:r>
              <w:t>60%</w:t>
            </w:r>
          </w:p>
        </w:tc>
        <w:tc>
          <w:tcPr>
            <w:tcW w:type="dxa" w:w="1728"/>
          </w:tcPr>
          <w:p>
            <w:r>
              <w:t>62%</w:t>
            </w:r>
          </w:p>
        </w:tc>
        <w:tc>
          <w:tcPr>
            <w:tcW w:type="dxa" w:w="1728"/>
          </w:tcPr>
          <w:p>
            <w:r>
              <w:t>略升</w:t>
            </w:r>
          </w:p>
        </w:tc>
        <w:tc>
          <w:tcPr>
            <w:tcW w:type="dxa" w:w="1728"/>
          </w:tcPr>
          <w:p>
            <w:r>
              <w:t>持续主导（60-70%）</w:t>
            </w:r>
          </w:p>
        </w:tc>
      </w:tr>
      <w:tr>
        <w:tc>
          <w:tcPr>
            <w:tcW w:type="dxa" w:w="1728"/>
          </w:tcPr>
          <w:p>
            <w:r>
              <w:t>军事相关</w:t>
            </w:r>
          </w:p>
        </w:tc>
        <w:tc>
          <w:tcPr>
            <w:tcW w:type="dxa" w:w="1728"/>
          </w:tcPr>
          <w:p>
            <w:r>
              <w:t>25%</w:t>
            </w:r>
          </w:p>
        </w:tc>
        <w:tc>
          <w:tcPr>
            <w:tcW w:type="dxa" w:w="1728"/>
          </w:tcPr>
          <w:p>
            <w:r>
              <w:t>23%</w:t>
            </w:r>
          </w:p>
        </w:tc>
        <w:tc>
          <w:tcPr>
            <w:tcW w:type="dxa" w:w="1728"/>
          </w:tcPr>
          <w:p>
            <w:r>
              <w:t>略降</w:t>
            </w:r>
          </w:p>
        </w:tc>
        <w:tc>
          <w:tcPr>
            <w:tcW w:type="dxa" w:w="1728"/>
          </w:tcPr>
          <w:p>
            <w:r>
              <w:t>次要理由</w:t>
            </w:r>
          </w:p>
        </w:tc>
      </w:tr>
      <w:tr>
        <w:tc>
          <w:tcPr>
            <w:tcW w:type="dxa" w:w="1728"/>
          </w:tcPr>
          <w:p>
            <w:r>
              <w:t>供应链安全</w:t>
            </w:r>
          </w:p>
        </w:tc>
        <w:tc>
          <w:tcPr>
            <w:tcW w:type="dxa" w:w="1728"/>
          </w:tcPr>
          <w:p>
            <w:r>
              <w:t>10%</w:t>
            </w:r>
          </w:p>
        </w:tc>
        <w:tc>
          <w:tcPr>
            <w:tcW w:type="dxa" w:w="1728"/>
          </w:tcPr>
          <w:p>
            <w:r>
              <w:t>10%</w:t>
            </w:r>
          </w:p>
        </w:tc>
        <w:tc>
          <w:tcPr>
            <w:tcW w:type="dxa" w:w="1728"/>
          </w:tcPr>
          <w:p>
            <w:r>
              <w:t>稳定</w:t>
            </w:r>
          </w:p>
        </w:tc>
        <w:tc>
          <w:tcPr>
            <w:tcW w:type="dxa" w:w="1728"/>
          </w:tcPr>
          <w:p>
            <w:r>
              <w:t>维持稳定</w:t>
            </w:r>
          </w:p>
        </w:tc>
      </w:tr>
      <w:tr>
        <w:tc>
          <w:tcPr>
            <w:tcW w:type="dxa" w:w="1728"/>
          </w:tcPr>
          <w:p>
            <w:r>
              <w:t>人权相关</w:t>
            </w:r>
          </w:p>
        </w:tc>
        <w:tc>
          <w:tcPr>
            <w:tcW w:type="dxa" w:w="1728"/>
          </w:tcPr>
          <w:p>
            <w:r>
              <w:t>3%</w:t>
            </w:r>
          </w:p>
        </w:tc>
        <w:tc>
          <w:tcPr>
            <w:tcW w:type="dxa" w:w="1728"/>
          </w:tcPr>
          <w:p>
            <w:r>
              <w:t>4%</w:t>
            </w:r>
          </w:p>
        </w:tc>
        <w:tc>
          <w:tcPr>
            <w:tcW w:type="dxa" w:w="1728"/>
          </w:tcPr>
          <w:p>
            <w:r>
              <w:t>上升</w:t>
            </w:r>
          </w:p>
        </w:tc>
        <w:tc>
          <w:tcPr>
            <w:tcW w:type="dxa" w:w="1728"/>
          </w:tcPr>
          <w:p>
            <w:r>
              <w:t>周期性波动</w:t>
            </w:r>
          </w:p>
        </w:tc>
      </w:tr>
      <w:tr>
        <w:tc>
          <w:tcPr>
            <w:tcW w:type="dxa" w:w="1728"/>
          </w:tcPr>
          <w:p>
            <w:r>
              <w:t>情报活动</w:t>
            </w:r>
          </w:p>
        </w:tc>
        <w:tc>
          <w:tcPr>
            <w:tcW w:type="dxa" w:w="1728"/>
          </w:tcPr>
          <w:p>
            <w:r>
              <w:t>2%</w:t>
            </w:r>
          </w:p>
        </w:tc>
        <w:tc>
          <w:tcPr>
            <w:tcW w:type="dxa" w:w="1728"/>
          </w:tcPr>
          <w:p>
            <w:r>
              <w:t>1%</w:t>
            </w:r>
          </w:p>
        </w:tc>
        <w:tc>
          <w:tcPr>
            <w:tcW w:type="dxa" w:w="1728"/>
          </w:tcPr>
          <w:p>
            <w:r>
              <w:t>略降</w:t>
            </w:r>
          </w:p>
        </w:tc>
        <w:tc>
          <w:tcPr>
            <w:tcW w:type="dxa" w:w="1728"/>
          </w:tcPr>
          <w:p>
            <w:r>
              <w:t>极少但存在</w:t>
            </w:r>
          </w:p>
        </w:tc>
      </w:tr>
    </w:tbl>
    <w:p>
      <w:r>
        <w:br w:type="page"/>
      </w:r>
    </w:p>
    <w:p>
      <w:pPr>
        <w:pStyle w:val="Heading1"/>
      </w:pPr>
      <w:r>
        <w:t>模式识别</w:t>
      </w:r>
    </w:p>
    <w:p>
      <w:pPr>
        <w:pStyle w:val="Heading2"/>
      </w:pPr>
      <w:r>
        <w:t>核心制裁模式</w:t>
      </w:r>
    </w:p>
    <w:p>
      <w:pPr>
        <w:pStyle w:val="Heading3"/>
      </w:pPr>
      <w:r>
        <w:t>模式1："全产业链封锁"模式</w:t>
      </w:r>
    </w:p>
    <w:p>
      <w:r>
        <w:rPr>
          <w:b/>
        </w:rPr>
        <w:t>描述：</w:t>
      </w:r>
      <w:r>
        <w:t>从单一企业制裁扩展到全产业链制裁</w:t>
      </w:r>
    </w:p>
    <w:p>
      <w:r>
        <w:rPr>
          <w:b/>
        </w:rPr>
        <w:t>典型特征：</w:t>
      </w:r>
      <w:r>
        <w:br/>
        <w:t>• 同时制裁芯片制造商、工具制造商、材料供应商</w:t>
      </w:r>
      <w:r>
        <w:br/>
        <w:t>• 同时制裁设计公司、制造公司、下游应用</w:t>
      </w:r>
      <w:r>
        <w:br/>
        <w:t>• 从"点制裁"转向"链制裁"</w:t>
      </w:r>
    </w:p>
    <w:p>
      <w:r>
        <w:rPr>
          <w:b/>
        </w:rPr>
        <w:t>典型案例：</w:t>
      </w:r>
      <w:r>
        <w:br/>
        <w:t>• 2025年12月BIS制裁：140个。实体覆盖半导体全产业链</w:t>
      </w:r>
      <w:r>
        <w:br/>
        <w:t>• 涉及：EDA软件、光刻机、材料、晶圆代工厂、芯片设计</w:t>
      </w:r>
    </w:p>
    <w:p>
      <w:r>
        <w:rPr>
          <w:b/>
        </w:rPr>
        <w:t>战略意图。：</w:t>
      </w:r>
      <w:r>
        <w:br/>
        <w:t>• 阻断中国半导体全产业链能力</w:t>
      </w:r>
      <w:r>
        <w:br/>
        <w:t>• 提高制裁成本，增加突破难度</w:t>
      </w:r>
      <w:r>
        <w:br/>
        <w:t>• 削弱产业链恢复能力</w:t>
      </w:r>
    </w:p>
    <w:p>
      <w:pPr>
        <w:pStyle w:val="Heading3"/>
      </w:pPr>
      <w:r>
        <w:t>模式2："算力- AI联动"模式</w:t>
      </w:r>
    </w:p>
    <w:p>
      <w:r>
        <w:rPr>
          <w:b/>
        </w:rPr>
        <w:t>描述：</w:t>
      </w:r>
      <w:r>
        <w:t>AI制裁与算力制裁联动</w:t>
      </w:r>
    </w:p>
    <w:p>
      <w:r>
        <w:rPr>
          <w:b/>
        </w:rPr>
        <w:t>典型特征：</w:t>
      </w:r>
      <w:r>
        <w:br/>
        <w:t>• 制裁AI大模型训练公司同时制裁其算力供应商</w:t>
      </w:r>
      <w:r>
        <w:br/>
        <w:t>• 制裁云算力服务提供商</w:t>
      </w:r>
      <w:r>
        <w:br/>
        <w:t>• 制裁高性能芯片制造商</w:t>
      </w:r>
    </w:p>
    <w:p>
      <w:r>
        <w:rPr>
          <w:b/>
        </w:rPr>
        <w:t>典型案例：</w:t>
      </w:r>
      <w:r>
        <w:br/>
        <w:t>• 2025年4月CHIPS Act制裁：12个AI相关。实体</w:t>
      </w:r>
      <w:r>
        <w:br/>
        <w:t>• 涉及：大模型训练、算力云服务、高性能芯片</w:t>
      </w:r>
    </w:p>
    <w:p>
      <w:r>
        <w:rPr>
          <w:b/>
        </w:rPr>
        <w:t>战略意图。：</w:t>
      </w:r>
      <w:r>
        <w:br/>
        <w:t>• 阻断中国AI能力的基础设施</w:t>
      </w:r>
      <w:r>
        <w:br/>
        <w:t>• 提高AI训练和部署成本</w:t>
      </w:r>
      <w:r>
        <w:br/>
        <w:t>• 减缓中国AI技术突破</w:t>
      </w:r>
    </w:p>
    <w:p>
      <w:pPr>
        <w:pStyle w:val="Heading3"/>
      </w:pPr>
      <w:r>
        <w:t>模式3："技术精准打击"模式</w:t>
      </w:r>
    </w:p>
    <w:p>
      <w:r>
        <w:rPr>
          <w:b/>
        </w:rPr>
        <w:t>描述：</w:t>
      </w:r>
      <w:r>
        <w:t>针对性地对特定先进技术的精准制裁</w:t>
      </w:r>
    </w:p>
    <w:p>
      <w:r>
        <w:rPr>
          <w:b/>
        </w:rPr>
        <w:t>典型特征：</w:t>
      </w:r>
      <w:r>
        <w:br/>
        <w:t>• 集中制裁某一特定技术领域的企业</w:t>
      </w:r>
      <w:r>
        <w:br/>
        <w:t>• 技术定义精确（如14nm制程节点）</w:t>
      </w:r>
      <w:r>
        <w:br/>
        <w:t>• 避免"一刀切"，提高制裁精准度</w:t>
      </w:r>
    </w:p>
    <w:p>
      <w:r>
        <w:rPr>
          <w:b/>
        </w:rPr>
        <w:t>典型案例：</w:t>
      </w:r>
      <w:r>
        <w:br/>
        <w:t>• 先进制程节点：集中制裁14nm/7nm制程。企业</w:t>
      </w:r>
      <w:r>
        <w:br/>
        <w:t>• 量子计算：集中制裁量子计算相关。企业</w:t>
      </w:r>
      <w:r>
        <w:br/>
        <w:t>• EDA软件：集中制裁EDA软件供应商</w:t>
      </w:r>
    </w:p>
    <w:p>
      <w:r>
        <w:rPr>
          <w:b/>
        </w:rPr>
        <w:t>战略意图。：</w:t>
      </w:r>
      <w:r>
        <w:br/>
        <w:t>• 针对性地剥夺特定技术能力</w:t>
      </w:r>
      <w:r>
        <w:br/>
        <w:t>• 降低对非相关实体的政治压力</w:t>
      </w:r>
      <w:r>
        <w:br/>
        <w:t>• 保持制裁的"技术合理性"</w:t>
      </w:r>
    </w:p>
    <w:p>
      <w:pPr>
        <w:pStyle w:val="Heading3"/>
      </w:pPr>
      <w:r>
        <w:t>模式4："盟友协同"模式</w:t>
      </w:r>
    </w:p>
    <w:p>
      <w:r>
        <w:rPr>
          <w:b/>
        </w:rPr>
        <w:t>描述：</w:t>
      </w:r>
      <w:r>
        <w:t>与盟友国家同步实施类似管制</w:t>
      </w:r>
    </w:p>
    <w:p>
      <w:r>
        <w:rPr>
          <w:b/>
        </w:rPr>
        <w:t>典型特征：</w:t>
      </w:r>
      <w:r>
        <w:br/>
        <w:t>• 美国、荷兰、日本同步更新出口管制</w:t>
      </w:r>
      <w:r>
        <w:br/>
        <w:t>• G7、欧盟协调半导体管制</w:t>
      </w:r>
      <w:r>
        <w:br/>
        <w:t>• 五眼联盟科技安全协调</w:t>
      </w:r>
    </w:p>
    <w:p>
      <w:r>
        <w:rPr>
          <w:b/>
        </w:rPr>
        <w:t>典型案例：</w:t>
      </w:r>
      <w:r>
        <w:br/>
        <w:t>• 先进制程工具：美国、荷兰、日本同步管制</w:t>
      </w:r>
      <w:r>
        <w:br/>
        <w:t>• AI技术：美国、欧盟、英国协调讨论</w:t>
      </w:r>
    </w:p>
    <w:p>
      <w:r>
        <w:rPr>
          <w:b/>
        </w:rPr>
        <w:t>战略意图。：</w:t>
      </w:r>
      <w:r>
        <w:br/>
        <w:t>• 构建多边制裁网络</w:t>
      </w:r>
      <w:r>
        <w:br/>
        <w:t>• 防止制裁规避</w:t>
      </w:r>
      <w:r>
        <w:br/>
        <w:t>• 提高制裁有效性和成本</w:t>
      </w:r>
    </w:p>
    <w:p>
      <w:r>
        <w:br w:type="page"/>
      </w:r>
    </w:p>
    <w:p>
      <w:pPr>
        <w:pStyle w:val="Heading1"/>
      </w:pPr>
      <w:r>
        <w:t>重点案例深度分析</w:t>
      </w:r>
    </w:p>
    <w:p>
      <w:pPr>
        <w:pStyle w:val="Heading2"/>
      </w:pPr>
      <w:r>
        <w:t>案例1：2025年12月BIS大规模制裁（半导体全产业链）</w:t>
      </w:r>
    </w:p>
    <w:p>
      <w:pPr>
        <w:pStyle w:val="Heading3"/>
      </w:pPr>
      <w:r>
        <w:t>企业背景</w:t>
      </w:r>
    </w:p>
    <w:p>
      <w:r>
        <w:rPr>
          <w:b/>
        </w:rPr>
        <w:t>制裁概况：</w:t>
      </w:r>
      <w:r>
        <w:br/>
        <w:t>• 制裁机构：BIS实体清单</w:t>
      </w:r>
      <w:r>
        <w:br/>
        <w:t>• 制裁日期：2025年12月2日</w:t>
      </w:r>
      <w:r>
        <w:br/>
        <w:t>• 制裁数量：140个。实体</w:t>
      </w:r>
      <w:r>
        <w:br/>
        <w:t>• 主要领域：半导体全产业链</w:t>
      </w:r>
    </w:p>
    <w:p>
      <w:r>
        <w:rPr>
          <w:b/>
        </w:rPr>
        <w:t>被制裁实体类型分布：</w:t>
      </w:r>
      <w:r>
        <w:br/>
        <w:t>• 芯片制造商：    35%</w:t>
      </w:r>
      <w:r>
        <w:br/>
        <w:t>• 工具制造商：    25%</w:t>
      </w:r>
      <w:r>
        <w:br/>
        <w:t>• 材料供应商：    20%</w:t>
      </w:r>
      <w:r>
        <w:br/>
        <w:t>• EDA软件：       15%</w:t>
      </w:r>
      <w:r>
        <w:br/>
        <w:t>• 投资公司：       5%</w:t>
      </w:r>
    </w:p>
    <w:p>
      <w:pPr>
        <w:pStyle w:val="Heading3"/>
      </w:pPr>
      <w:r>
        <w:t>被制裁原因深度分析</w:t>
      </w:r>
    </w:p>
    <w:p>
      <w:r>
        <w:rPr>
          <w:b/>
        </w:rPr>
        <w:t>直接原因：</w:t>
      </w:r>
      <w:r>
        <w:br/>
        <w:t>• 官方理由：涉先进制程节点用于军事目的</w:t>
      </w:r>
    </w:p>
    <w:p>
      <w:r>
        <w:rPr>
          <w:b/>
        </w:rPr>
        <w:t>深层原因：</w:t>
      </w:r>
      <w:r>
        <w:br/>
        <w:t>1。 技术敏感度：被制裁。企业全部涉及14nm/7nm/5nm先进制程节点</w:t>
      </w:r>
      <w:r>
        <w:br/>
        <w:t xml:space="preserve">   - 这些技术是美国严格管制的军事两用技术</w:t>
      </w:r>
      <w:r>
        <w:br/>
        <w:t xml:space="preserve">   - 技术敏感度极高</w:t>
      </w:r>
      <w:r>
        <w:br/>
        <w:t>2。 战略价值：</w:t>
      </w:r>
      <w:r>
        <w:br/>
        <w:t xml:space="preserve">   - 这些企业是中国先进制程产能的关键</w:t>
      </w:r>
      <w:r>
        <w:br/>
        <w:t xml:space="preserve">   - 制裁将显著削弱中国先进制程能力</w:t>
      </w:r>
      <w:r>
        <w:br/>
        <w:t xml:space="preserve">   - 符合美国"维持技术领先"战略目标</w:t>
      </w:r>
      <w:r>
        <w:br/>
        <w:t>3。 竞争威胁：</w:t>
      </w:r>
      <w:r>
        <w:br/>
        <w:t xml:space="preserve">   - 这些企业的技术能力威胁美国在半导体领域的领先地位</w:t>
      </w:r>
      <w:r>
        <w:br/>
        <w:t xml:space="preserve">   - 制裁有助于延缓中国半导体技术进步</w:t>
      </w:r>
      <w:r>
        <w:br/>
        <w:t xml:space="preserve">   - 防止中国通过技术进步实现产业升级</w:t>
      </w:r>
      <w:r>
        <w:br/>
        <w:t>4。 触发事件：</w:t>
      </w:r>
      <w:r>
        <w:br/>
        <w:t xml:space="preserve">   - 中国半导体产业快速发展</w:t>
      </w:r>
      <w:r>
        <w:br/>
        <w:t xml:space="preserve">   - 中美科技竞争加剧</w:t>
      </w:r>
      <w:r>
        <w:br/>
        <w:t xml:space="preserve">   - 美国国会压力加强对华科技制裁</w:t>
      </w:r>
    </w:p>
    <w:p>
      <w:pPr>
        <w:pStyle w:val="Heading3"/>
      </w:pPr>
      <w:r>
        <w:t>战略意图推断</w:t>
      </w:r>
    </w:p>
    <w:p>
      <w:r>
        <w:rPr>
          <w:b/>
        </w:rPr>
        <w:t>多维战略意图：</w:t>
      </w:r>
      <w:r>
        <w:br/>
        <w:t>1。 技术遏制：</w:t>
      </w:r>
      <w:r>
        <w:br/>
        <w:t xml:space="preserve">   - 主要目标：剥夺中国获取先进制程技术的能力</w:t>
      </w:r>
      <w:r>
        <w:br/>
        <w:t xml:space="preserve">   - 战略：通过制裁关键供应链节点，提高中国技术获取成本</w:t>
      </w:r>
      <w:r>
        <w:br/>
        <w:t>2。 产业链打击：</w:t>
      </w:r>
      <w:r>
        <w:br/>
        <w:t xml:space="preserve">   - 主要目标：削弱中国半导体全产业链能力</w:t>
      </w:r>
      <w:r>
        <w:br/>
        <w:t xml:space="preserve">   - 战略：从芯片制造商到工具制造商、材料供应商全链条制裁</w:t>
      </w:r>
      <w:r>
        <w:br/>
        <w:t>3。 盟友协同：</w:t>
      </w:r>
      <w:r>
        <w:br/>
        <w:t xml:space="preserve">   - 主要目标：构建多边制裁网络，防止制裁规避</w:t>
      </w:r>
      <w:r>
        <w:br/>
        <w:t xml:space="preserve">   - 战略：与荷兰、日本等盟友同步实施类似管制</w:t>
      </w:r>
      <w:r>
        <w:br/>
        <w:t>4。 政治信号：</w:t>
      </w:r>
      <w:r>
        <w:br/>
        <w:t xml:space="preserve">   - 主要目标：向中国和盟友传递美国制裁决心</w:t>
      </w:r>
      <w:r>
        <w:br/>
        <w:t xml:space="preserve">   - 战略：大规模制裁展示美国"坚定"立场</w:t>
      </w:r>
    </w:p>
    <w:p>
      <w:r>
        <w:br w:type="page"/>
      </w:r>
    </w:p>
    <w:p>
      <w:pPr>
        <w:pStyle w:val="Heading1"/>
      </w:pPr>
      <w:r>
        <w:t>关联图谱可视化</w:t>
      </w:r>
    </w:p>
    <w:p>
      <w:pPr>
        <w:pStyle w:val="Heading2"/>
      </w:pPr>
      <w:r>
        <w:t>制裁实体关系网络图</w:t>
      </w:r>
    </w:p>
    <w:p>
      <w:r>
        <w:rPr>
          <w:b/>
        </w:rPr>
        <w:t>网络结构：</w:t>
      </w:r>
      <w:r>
        <w:br/>
        <w:t>• 被制裁实体/机构/个人（红色节点）</w:t>
      </w:r>
      <w:r>
        <w:br/>
        <w:t>• 母公司/子公司（蓝色节点）</w:t>
      </w:r>
      <w:r>
        <w:br/>
        <w:t>• 客户/供应商（绿色节点）</w:t>
      </w:r>
      <w:r>
        <w:br/>
        <w:t>• 研究机构/高校（紫色节点）</w:t>
      </w:r>
      <w:r>
        <w:br/>
        <w:t>• 投资机构（橙色节点）</w:t>
      </w:r>
    </w:p>
    <w:p>
      <w:r>
        <w:t>边类型：</w:t>
      </w:r>
      <w:r>
        <w:br/>
        <w:t>• 母子关系（实线）</w:t>
      </w:r>
      <w:r>
        <w:br/>
        <w:t>• 供应链关系（虚线）</w:t>
      </w:r>
      <w:r>
        <w:br/>
        <w:t>• 客户关系（点线）</w:t>
      </w:r>
      <w:r>
        <w:br/>
        <w:t>• 投资关系（粗线）</w:t>
      </w:r>
      <w:r>
        <w:br/>
        <w:t>• 合作关系（细线）</w:t>
      </w:r>
    </w:p>
    <w:p>
      <w:r>
        <w:rPr>
          <w:b/>
        </w:rPr>
        <w:t>网络分析：</w:t>
      </w:r>
      <w:r>
        <w:br/>
        <w:t>• 识别制裁传导路径</w:t>
      </w:r>
      <w:r>
        <w:br/>
        <w:t>• 识别高风险节点（中心性高的未制裁实体）</w:t>
      </w:r>
      <w:r>
        <w:br/>
        <w:t>• 识别制裁集群（同一领域的关联实体）</w:t>
      </w:r>
    </w:p>
    <w:p>
      <w:r>
        <w:rPr>
          <w:b/>
        </w:rPr>
        <w:t>风险传导路径：</w:t>
      </w:r>
      <w:r>
        <w:br/>
        <w:t>• 风险路径1：美国设备商 → 被制裁芯片制造商 → 芯片设计公司 → 下游应用</w:t>
      </w:r>
      <w:r>
        <w:br/>
        <w:t>• 风险路径2：研究机构 ↔ 被制裁企业 → 军事项目</w:t>
      </w:r>
      <w:r>
        <w:br/>
        <w:t>• 风险路径3：被制裁企业 → 子公司 → 下游应用</w:t>
      </w:r>
    </w:p>
    <w:p>
      <w:r>
        <w:rPr>
          <w:b/>
        </w:rPr>
        <w:t>高风险节点：</w:t>
      </w:r>
      <w:r>
        <w:br/>
        <w:t>• XYZ Semiconductor Technology Co., Ltd。（芯片制造商）：风险等级极高</w:t>
      </w:r>
      <w:r>
        <w:t xml:space="preserve">  - 风险类型：上下游双向制裁风险</w:t>
      </w:r>
      <w:r>
        <w:t xml:space="preserve">  - 原因：处于产业链核心位置</w:t>
      </w:r>
      <w:r>
        <w:br/>
        <w:t>• DEF Semiconductor Design Co., Ltd。（芯片设计公司）：风险等级高</w:t>
      </w:r>
      <w:r>
        <w:t xml:space="preserve">  - 风险类型：上游制裁风险、客户影响</w:t>
      </w:r>
      <w:r>
        <w:t xml:space="preserve">  - 原因：依赖被制裁制造商，同时面临客户需求转移</w:t>
      </w:r>
      <w:r>
        <w:br/>
        <w:t>• US Equipment Company A（美国设备商）：风险等级中</w:t>
      </w:r>
      <w:r>
        <w:t xml:space="preserve">  - 风险类型：被制裁实体。的影响源</w:t>
      </w:r>
      <w:r>
        <w:t xml:space="preserve">  - 原因：被禁止向被制裁实体供货，商业损失</w:t>
      </w:r>
    </w:p>
    <w:p>
      <w:r>
        <w:br w:type="page"/>
      </w:r>
    </w:p>
    <w:p>
      <w:pPr>
        <w:pStyle w:val="Heading1"/>
      </w:pPr>
      <w:r>
        <w:t>风险预警与建议</w:t>
      </w:r>
    </w:p>
    <w:p>
      <w:pPr>
        <w:pStyle w:val="Heading2"/>
      </w:pPr>
      <w:r>
        <w:t>高风险企业识别</w:t>
      </w:r>
    </w:p>
    <w:p>
      <w:r>
        <w:rPr>
          <w:b/>
        </w:rPr>
        <w:t>基于当前制裁趋势和技术敏感度，识别出以下高风险企业类型：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企业类型</w:t>
            </w:r>
          </w:p>
        </w:tc>
        <w:tc>
          <w:tcPr>
            <w:tcW w:type="dxa" w:w="1728"/>
          </w:tcPr>
          <w:p>
            <w:r>
              <w:t>风险等级</w:t>
            </w:r>
          </w:p>
        </w:tc>
        <w:tc>
          <w:tcPr>
            <w:tcW w:type="dxa" w:w="1728"/>
          </w:tcPr>
          <w:p>
            <w:r>
              <w:t>制裁可能性</w:t>
            </w:r>
          </w:p>
        </w:tc>
        <w:tc>
          <w:tcPr>
            <w:tcW w:type="dxa" w:w="1728"/>
          </w:tcPr>
          <w:p>
            <w:r>
              <w:t>制裁紧迫性</w:t>
            </w:r>
          </w:p>
        </w:tc>
        <w:tc>
          <w:tcPr>
            <w:tcW w:type="dxa" w:w="1728"/>
          </w:tcPr>
          <w:p>
            <w:r>
              <w:t>主要风险因素</w:t>
            </w:r>
          </w:p>
        </w:tc>
      </w:tr>
      <w:tr>
        <w:tc>
          <w:tcPr>
            <w:tcW w:type="dxa" w:w="1728"/>
          </w:tcPr>
          <w:p>
            <w:r>
              <w:t>先进制程节点制造商</w:t>
            </w:r>
          </w:p>
        </w:tc>
        <w:tc>
          <w:tcPr>
            <w:tcW w:type="dxa" w:w="1728"/>
          </w:tcPr>
          <w:p>
            <w:r>
              <w:t>高</w:t>
            </w:r>
          </w:p>
        </w:tc>
        <w:tc>
          <w:tcPr>
            <w:tcW w:type="dxa" w:w="1728"/>
          </w:tcPr>
          <w:p>
            <w:r>
              <w:t>90%</w:t>
            </w:r>
          </w:p>
        </w:tc>
        <w:tc>
          <w:tcPr>
            <w:tcW w:type="dxa" w:w="1728"/>
          </w:tcPr>
          <w:p>
            <w:r>
              <w:t>短期（3-6个月）</w:t>
            </w:r>
          </w:p>
        </w:tc>
        <w:tc>
          <w:tcPr>
            <w:tcW w:type="dxa" w:w="1728"/>
          </w:tcPr>
          <w:p>
            <w:r>
              <w:t>涉14nm/7nm制程、军事客户关联</w:t>
            </w:r>
          </w:p>
        </w:tc>
      </w:tr>
      <w:tr>
        <w:tc>
          <w:tcPr>
            <w:tcW w:type="dxa" w:w="1728"/>
          </w:tcPr>
          <w:p>
            <w:r>
              <w:t>AI算力云服务商</w:t>
            </w:r>
          </w:p>
        </w:tc>
        <w:tc>
          <w:tcPr>
            <w:tcW w:type="dxa" w:w="1728"/>
          </w:tcPr>
          <w:p>
            <w:r>
              <w:t>高</w:t>
            </w:r>
          </w:p>
        </w:tc>
        <w:tc>
          <w:tcPr>
            <w:tcW w:type="dxa" w:w="1728"/>
          </w:tcPr>
          <w:p>
            <w:r>
              <w:t>85%</w:t>
            </w:r>
          </w:p>
        </w:tc>
        <w:tc>
          <w:tcPr>
            <w:tcW w:type="dxa" w:w="1728"/>
          </w:tcPr>
          <w:p>
            <w:r>
              <w:t>短期（1-3个月）</w:t>
            </w:r>
          </w:p>
        </w:tc>
        <w:tc>
          <w:tcPr>
            <w:tcW w:type="dxa" w:w="1728"/>
          </w:tcPr>
          <w:p>
            <w:r>
              <w:t>为大模型训练提供算力、军事项目关联</w:t>
            </w:r>
          </w:p>
        </w:tc>
      </w:tr>
      <w:tr>
        <w:tc>
          <w:tcPr>
            <w:tcW w:type="dxa" w:w="1728"/>
          </w:tcPr>
          <w:p>
            <w:r>
              <w:t>EDA软件供应商</w:t>
            </w:r>
          </w:p>
        </w:tc>
        <w:tc>
          <w:tcPr>
            <w:tcW w:type="dxa" w:w="1728"/>
          </w:tcPr>
          <w:p>
            <w:r>
              <w:t>高</w:t>
            </w:r>
          </w:p>
        </w:tc>
        <w:tc>
          <w:tcPr>
            <w:tcW w:type="dxa" w:w="1728"/>
          </w:tcPr>
          <w:p>
            <w:r>
              <w:t>75%</w:t>
            </w:r>
          </w:p>
        </w:tc>
        <w:tc>
          <w:tcPr>
            <w:tcW w:type="dxa" w:w="1728"/>
          </w:tcPr>
          <w:p>
            <w:r>
              <w:t>短期（3-6个月）</w:t>
            </w:r>
          </w:p>
        </w:tc>
        <w:tc>
          <w:tcPr>
            <w:tcW w:type="dxa" w:w="1728"/>
          </w:tcPr>
          <w:p>
            <w:r>
              <w:t>为先进制程提供EDA工具、技术敏感度高</w:t>
            </w:r>
          </w:p>
        </w:tc>
      </w:tr>
      <w:tr>
        <w:tc>
          <w:tcPr>
            <w:tcW w:type="dxa" w:w="1728"/>
          </w:tcPr>
          <w:p>
            <w:r>
              <w:t>光刻机供应商</w:t>
            </w:r>
          </w:p>
        </w:tc>
        <w:tc>
          <w:tcPr>
            <w:tcW w:type="dxa" w:w="1728"/>
          </w:tcPr>
          <w:p>
            <w:r>
              <w:t>高</w:t>
            </w:r>
          </w:p>
        </w:tc>
        <w:tc>
          <w:tcPr>
            <w:tcW w:type="dxa" w:w="1728"/>
          </w:tcPr>
          <w:p>
            <w:r>
              <w:t>70%</w:t>
            </w:r>
          </w:p>
        </w:tc>
        <w:tc>
          <w:tcPr>
            <w:tcW w:type="dxa" w:w="1728"/>
          </w:tcPr>
          <w:p>
            <w:r>
              <w:t>中期（6-12个月）</w:t>
            </w:r>
          </w:p>
        </w:tc>
        <w:tc>
          <w:tcPr>
            <w:tcW w:type="dxa" w:w="1728"/>
          </w:tcPr>
          <w:p>
            <w:r>
              <w:t>为先进制程提供关键设备、供应链关键</w:t>
            </w:r>
          </w:p>
        </w:tc>
      </w:tr>
      <w:tr>
        <w:tc>
          <w:tcPr>
            <w:tcW w:type="dxa" w:w="1728"/>
          </w:tcPr>
          <w:p>
            <w:r>
              <w:t>量子计算企业</w:t>
            </w:r>
          </w:p>
        </w:tc>
        <w:tc>
          <w:tcPr>
            <w:tcW w:type="dxa" w:w="1728"/>
          </w:tcPr>
          <w:p>
            <w:r>
              <w:t>高</w:t>
            </w:r>
          </w:p>
        </w:tc>
        <w:tc>
          <w:tcPr>
            <w:tcW w:type="dxa" w:w="1728"/>
          </w:tcPr>
          <w:p>
            <w:r>
              <w:t>80%</w:t>
            </w:r>
          </w:p>
        </w:tc>
        <w:tc>
          <w:tcPr>
            <w:tcW w:type="dxa" w:w="1728"/>
          </w:tcPr>
          <w:p>
            <w:r>
              <w:t>短期（3-6个月）</w:t>
            </w:r>
          </w:p>
        </w:tc>
        <w:tc>
          <w:tcPr>
            <w:tcW w:type="dxa" w:w="1728"/>
          </w:tcPr>
          <w:p>
            <w:r>
              <w:t>量子技术敏感度高、军事应用潜力</w:t>
            </w:r>
          </w:p>
        </w:tc>
      </w:tr>
      <w:tr>
        <w:tc>
          <w:tcPr>
            <w:tcW w:type="dxa" w:w="1728"/>
          </w:tcPr>
          <w:p>
            <w:r>
              <w:t>半导体材料供应商</w:t>
            </w:r>
          </w:p>
        </w:tc>
        <w:tc>
          <w:tcPr>
            <w:tcW w:type="dxa" w:w="1728"/>
          </w:tcPr>
          <w:p>
            <w:r>
              <w:t>中高</w:t>
            </w:r>
          </w:p>
        </w:tc>
        <w:tc>
          <w:tcPr>
            <w:tcW w:type="dxa" w:w="1728"/>
          </w:tcPr>
          <w:p>
            <w:r>
              <w:t>65%</w:t>
            </w:r>
          </w:p>
        </w:tc>
        <w:tc>
          <w:tcPr>
            <w:tcW w:type="dxa" w:w="1728"/>
          </w:tcPr>
          <w:p>
            <w:r>
              <w:t>中期（6-12个月）</w:t>
            </w:r>
          </w:p>
        </w:tc>
        <w:tc>
          <w:tcPr>
            <w:tcW w:type="dxa" w:w="1728"/>
          </w:tcPr>
          <w:p>
            <w:r>
              <w:t>供应链上游、技术替代困难</w:t>
            </w:r>
          </w:p>
        </w:tc>
      </w:tr>
    </w:tbl>
    <w:p>
      <w:pPr>
        <w:pStyle w:val="Heading2"/>
      </w:pPr>
      <w:r>
        <w:t>高风险行业分析</w:t>
      </w:r>
    </w:p>
    <w:p>
      <w:pPr>
        <w:pStyle w:val="Heading3"/>
      </w:pPr>
      <w:r>
        <w:t>1。 先进制程节点</w:t>
      </w:r>
    </w:p>
    <w:p>
      <w:r>
        <w:rPr>
          <w:b/>
        </w:rPr>
        <w:t>风险等级：</w:t>
      </w:r>
      <w:r>
        <w:t>极高</w:t>
      </w:r>
    </w:p>
    <w:p>
      <w:r>
        <w:rPr>
          <w:b/>
        </w:rPr>
        <w:t>制裁趋势：</w:t>
      </w:r>
      <w:r>
        <w:t>持续高位，2025年Q4占比45%</w:t>
      </w:r>
    </w:p>
    <w:p>
      <w:r>
        <w:rPr>
          <w:b/>
        </w:rPr>
        <w:t>风险传导路径：</w:t>
      </w:r>
      <w:r>
        <w:br/>
        <w:t>• 材料供应商 → 制程设备制造商 → 晶圆代工厂 → 芯片设计公司 → 下游应用</w:t>
      </w:r>
    </w:p>
    <w:p>
      <w:r>
        <w:rPr>
          <w:b/>
        </w:rPr>
        <w:t>预测下一步：</w:t>
      </w:r>
      <w:r>
        <w:br/>
        <w:t>• 可能制裁更多14nm/7nm制程。企业</w:t>
      </w:r>
      <w:r>
        <w:br/>
        <w:t>• 可能扩展到制程设备和材料</w:t>
      </w:r>
      <w:r>
        <w:br/>
        <w:t>• 可能制裁制程技术标准相关机构</w:t>
      </w:r>
    </w:p>
    <w:p>
      <w:r>
        <w:rPr>
          <w:b/>
        </w:rPr>
        <w:t>应对建议：</w:t>
      </w:r>
    </w:p>
    <w:p>
      <w:r>
        <w:rPr>
          <w:b/>
        </w:rPr>
        <w:t>企业层面：</w:t>
      </w:r>
      <w:r>
        <w:br/>
        <w:t>1。 供应链审查：立即审查供应链中的美国关联</w:t>
      </w:r>
      <w:r>
        <w:br/>
        <w:t>2。 技术替代：加速国产EDA软件和设备替代</w:t>
      </w:r>
      <w:r>
        <w:br/>
        <w:t>3。 市场转移：减少对美国市场依赖</w:t>
      </w:r>
      <w:r>
        <w:br/>
        <w:t>4. 合规审查：加强出口管制合规审查</w:t>
      </w:r>
    </w:p>
    <w:p>
      <w:r>
        <w:rPr>
          <w:b/>
        </w:rPr>
        <w:t>行业层面：</w:t>
      </w:r>
      <w:r>
        <w:br/>
        <w:t>1. 产业链协同：上下游企业协同应对</w:t>
      </w:r>
      <w:r>
        <w:br/>
        <w:t>2. 国产替代：加速国产替代研发和产业化</w:t>
      </w:r>
      <w:r>
        <w:br/>
        <w:t>3. 国际合作：拓展非美国合作伙伴（如欧洲、日韩）</w:t>
      </w:r>
    </w:p>
    <w:p>
      <w:r>
        <w:rPr>
          <w:b/>
        </w:rPr>
        <w:t>国家层面：</w:t>
      </w:r>
      <w:r>
        <w:br/>
        <w:t>1. 政策支持：对制程企业提供税收优惠和研发补贴</w:t>
      </w:r>
      <w:r>
        <w:br/>
        <w:t>2. 技术攻关：集中力量攻关制程设备和技术</w:t>
      </w:r>
      <w:r>
        <w:br/>
        <w:t>3. 人才培养：加强制程技术人才培养</w:t>
      </w:r>
      <w:r>
        <w:br/>
        <w:t>4. 国际协调：与友好国家协调技术合作</w:t>
      </w:r>
    </w:p>
    <w:p>
      <w:pPr>
        <w:pStyle w:val="Heading3"/>
      </w:pPr>
      <w:r>
        <w:t>2. AI算力</w:t>
      </w:r>
    </w:p>
    <w:p>
      <w:r>
        <w:rPr>
          <w:b/>
        </w:rPr>
        <w:t>风险等级：</w:t>
      </w:r>
      <w:r>
        <w:t>高</w:t>
      </w:r>
    </w:p>
    <w:p>
      <w:r>
        <w:rPr>
          <w:b/>
        </w:rPr>
        <w:t>制裁趋势：</w:t>
      </w:r>
      <w:r>
        <w:t>快速上升，2026年Q1占比28%</w:t>
      </w:r>
    </w:p>
    <w:p>
      <w:r>
        <w:rPr>
          <w:b/>
        </w:rPr>
        <w:t>风险传导路径：</w:t>
      </w:r>
      <w:r>
        <w:br/>
        <w:t>• 算力硬件 → 算力云服务 → 大模型训练 → AI应用场景</w:t>
      </w:r>
    </w:p>
    <w:p>
      <w:r>
        <w:rPr>
          <w:b/>
        </w:rPr>
        <w:t>预测下一步：</w:t>
      </w:r>
      <w:r>
        <w:br/>
        <w:t>• 可能制裁更多AI算力云服务商</w:t>
      </w:r>
      <w:r>
        <w:br/>
        <w:t>• 可能限制高性能芯片出口</w:t>
      </w:r>
      <w:r>
        <w:br/>
        <w:t>• 可能制裁AI软件工具和平台</w:t>
      </w:r>
    </w:p>
    <w:p>
      <w:r>
        <w:rPr>
          <w:b/>
        </w:rPr>
        <w:t>应对建议：</w:t>
      </w:r>
    </w:p>
    <w:p>
      <w:r>
        <w:rPr>
          <w:b/>
        </w:rPr>
        <w:t>企业层面：</w:t>
      </w:r>
      <w:r>
        <w:br/>
        <w:t>1. 算力多元化：发展多元化算力来源</w:t>
      </w:r>
      <w:r>
        <w:br/>
        <w:t>2. 自主算力：投资建设自主算力基础设施</w:t>
      </w:r>
      <w:r>
        <w:br/>
        <w:t>3. 模型优化：优化模型训练，降低算力依赖</w:t>
      </w:r>
      <w:r>
        <w:br/>
        <w:t>4. 合规审查：审查算力供应链的美国关联</w:t>
      </w:r>
    </w:p>
    <w:p>
      <w:r>
        <w:rPr>
          <w:b/>
        </w:rPr>
        <w:t>行业层面：</w:t>
      </w:r>
      <w:r>
        <w:br/>
        <w:t>1. 算力协同：AI企业共建算力基础设施</w:t>
      </w:r>
      <w:r>
        <w:br/>
        <w:t>2. 技术创新：研发低功耗AI模型和训练方法</w:t>
      </w:r>
      <w:r>
        <w:br/>
        <w:t>3. 国际合作：拓展非美国算力来源</w:t>
      </w:r>
    </w:p>
    <w:p>
      <w:r>
        <w:rPr>
          <w:b/>
        </w:rPr>
        <w:t>国家层面：</w:t>
      </w:r>
      <w:r>
        <w:br/>
        <w:t>1. 基础设施投资：投资建设国家级AI算力中心</w:t>
      </w:r>
      <w:r>
        <w:br/>
        <w:t>2. 政策支持：对AI算力企业提供政策支持</w:t>
      </w:r>
      <w:r>
        <w:br/>
        <w:t>3. 技术攻关：集中攻关AI算力关键技术</w:t>
      </w:r>
      <w:r>
        <w:br/>
        <w:t>4. 数据安全：保障AI训练数据安全和合规</w:t>
      </w:r>
    </w:p>
    <w:p>
      <w:pPr>
        <w:pStyle w:val="Heading2"/>
      </w:pPr>
      <w:r>
        <w:t>风险预警总结</w:t>
      </w:r>
    </w:p>
    <w:p>
      <w:r>
        <w:rPr>
          <w:b/>
        </w:rPr>
        <w:t>预警信号：</w:t>
      </w:r>
    </w:p>
    <w:p>
      <w:r>
        <w:t>1。 制裁频率加速：2025年Q4新增220+。实体，同比增长65%</w:t>
      </w:r>
      <w:r>
        <w:t xml:space="preserve">   - 信号：美国对华制裁强度显著提升</w:t>
      </w:r>
      <w:r>
        <w:t xml:space="preserve">   - 风险：预计2026年制裁频率维持高位</w:t>
      </w:r>
    </w:p>
    <w:p>
      <w:r>
        <w:t>2。 全产业链制裁：从"点制裁"向"链制裁"演进</w:t>
      </w:r>
      <w:r>
        <w:t xml:space="preserve">   - 信号：美国制裁策略从精准打击转向全产业链封锁</w:t>
      </w:r>
      <w:r>
        <w:t xml:space="preserve">   - 风险：供应链上下游企业风险大幅上升</w:t>
      </w:r>
    </w:p>
    <w:p>
      <w:r>
        <w:t>3。 AI领域制裁：AI制裁快速增长，2026年Q1占比28%</w:t>
      </w:r>
      <w:r>
        <w:t xml:space="preserve">   - 信号：AI成为制裁新焦点</w:t>
      </w:r>
      <w:r>
        <w:t xml:space="preserve">   - 风险：AI算力、模型训练、软件工具相关。企业风险高</w:t>
      </w:r>
    </w:p>
    <w:p>
      <w:r>
        <w:t>4. 盟友协同加强：美国与盟友同步实施管制</w:t>
      </w:r>
      <w:r>
        <w:t xml:space="preserve">   - 信号：构建多边制裁网络</w:t>
      </w:r>
      <w:r>
        <w:t xml:space="preserve">   - 风险：制裁规避难度增加，国际合作受限</w:t>
      </w:r>
    </w:p>
    <w:p>
      <w:r>
        <w:t>5. 技术定义精细：制裁技术定义更加精确</w:t>
      </w:r>
      <w:r>
        <w:t xml:space="preserve">   - 信号：提高制裁精准度，降低政治压力</w:t>
      </w:r>
      <w:r>
        <w:t xml:space="preserve">   - 风险：特定技术领域。企业风险集中</w:t>
      </w:r>
    </w:p>
    <w:p>
      <w:r>
        <w:br w:type="page"/>
      </w:r>
    </w:p>
    <w:p>
      <w:pPr>
        <w:pStyle w:val="Heading1"/>
      </w:pPr>
      <w:r>
        <w:t>总结与展望</w:t>
      </w:r>
    </w:p>
    <w:p>
      <w:pPr>
        <w:pStyle w:val="Heading2"/>
      </w:pPr>
      <w:r>
        <w:t>核心发现</w:t>
      </w:r>
    </w:p>
    <w:p>
      <w:r>
        <w:t>1。 制裁频率加速：2025年Q4新增220+。实体，同比增长65%</w:t>
      </w:r>
      <w:r>
        <w:br/>
        <w:t>2. 全产业链制裁：从"点制裁"向"链制裁"演进</w:t>
      </w:r>
      <w:r>
        <w:br/>
        <w:t>3. 技术精准打击：针对先进制程、AI、量子计算等特定技术</w:t>
      </w:r>
      <w:r>
        <w:br/>
        <w:t>4. 盟友协同加强：与荷兰、日本等盟友同步实施管制</w:t>
      </w:r>
      <w:r>
        <w:br/>
        <w:t>5. AI成为新焦点：AI制裁快速增长，算力供应链成为新目标</w:t>
      </w:r>
    </w:p>
    <w:p>
      <w:pPr>
        <w:pStyle w:val="Heading2"/>
      </w:pPr>
      <w:r>
        <w:t>趋势预测</w:t>
      </w:r>
    </w:p>
    <w:p>
      <w:pPr>
        <w:pStyle w:val="Heading3"/>
      </w:pPr>
      <w:r>
        <w:t>短期预测（2026年Q2-Q3）</w:t>
      </w:r>
    </w:p>
    <w:p>
      <w:r>
        <w:t>1. 制裁频率维持高位，月均新增50-80个。实体</w:t>
      </w:r>
      <w:r>
        <w:br/>
        <w:t>2. 半导体和AI继续为主要制裁领域（合计占比70%+）</w:t>
      </w:r>
      <w:r>
        <w:br/>
        <w:t>3. 量子计算相关制裁快速增长（占比15-20%）</w:t>
      </w:r>
      <w:r>
        <w:br/>
        <w:t>4. "全产业链封锁"模式继续强化</w:t>
      </w:r>
      <w:r>
        <w:br/>
        <w:t>5. 美国与更多盟友（如韩国、欧盟）同步管制</w:t>
      </w:r>
    </w:p>
    <w:p>
      <w:pPr>
        <w:pStyle w:val="Heading3"/>
      </w:pPr>
      <w:r>
        <w:t>中期预测（2026年Q4）</w:t>
      </w:r>
    </w:p>
    <w:p>
      <w:r>
        <w:t>1. 制裁进一步向高端技术领域扩展（如6G通信、先进材料）</w:t>
      </w:r>
      <w:r>
        <w:br/>
        <w:t>2. 可能出现针对特定技术标准或生态系统的制裁</w:t>
      </w:r>
      <w:r>
        <w:br/>
        <w:t>3. 制裁与出口管制更加精细化和复杂化</w:t>
      </w:r>
      <w:r>
        <w:br/>
        <w:t>4. 美国可能扩大制裁与国家安全评估的关联</w:t>
      </w:r>
    </w:p>
    <w:p>
      <w:pPr>
        <w:pStyle w:val="Heading3"/>
      </w:pPr>
      <w:r>
        <w:t>长期预测（2027年）</w:t>
      </w:r>
    </w:p>
    <w:p>
      <w:r>
        <w:t>1. 制裁体系化和制度化，形成持续监控和更新机制</w:t>
      </w:r>
      <w:r>
        <w:br/>
        <w:t>2. 可能出现基于AI和大数据的风险评估和动态制裁</w:t>
      </w:r>
      <w:r>
        <w:br/>
        <w:t>3. 制裁与国际规则制定更加深度融合</w:t>
      </w:r>
      <w:r>
        <w:br/>
        <w:t>4. 中国可能建立更加完善的产业韧性和应对体系</w:t>
      </w:r>
    </w:p>
    <w:p>
      <w:pPr>
        <w:pStyle w:val="Heading2"/>
      </w:pPr>
      <w:r>
        <w:t>最终建议</w:t>
      </w:r>
    </w:p>
    <w:p>
      <w:r>
        <w:rPr>
          <w:b/>
        </w:rPr>
        <w:t>战略方针：</w:t>
      </w:r>
      <w:r>
        <w:br/>
        <w:t>• 主动应对：主动识别风险，提前布局应对方案</w:t>
      </w:r>
      <w:r>
        <w:br/>
        <w:t>• 产业协同：产业链上下游协同应对，提升整体韧性</w:t>
      </w:r>
      <w:r>
        <w:br/>
        <w:t>• 技术自立：加大技术创新投入，构建自主可控技术体系</w:t>
      </w:r>
      <w:r>
        <w:br/>
        <w:t>• 国际合作：拓展非美国国际合作，构建多元化合作网络</w:t>
      </w:r>
    </w:p>
    <w:p>
      <w:r>
        <w:rPr>
          <w:b/>
        </w:rPr>
        <w:t>关键行动：</w:t>
      </w:r>
      <w:r>
        <w:br/>
        <w:t>1. 立即启动供应链审查和重构计划</w:t>
      </w:r>
      <w:r>
        <w:br/>
        <w:t>2. 加速关键技术研发和替代</w:t>
      </w:r>
      <w:r>
        <w:br/>
        <w:t>3. 建立制裁监测和预警机制</w:t>
      </w:r>
      <w:r>
        <w:br/>
        <w:t>4. 加强国际合作和市场拓展</w:t>
      </w:r>
      <w:r>
        <w:br/>
        <w:t>5. 完善政策支持和风险应对体系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