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0" w:line="560" w:lineRule="exact"/>
        <w:jc w:val="center"/>
      </w:pPr>
      <w:r>
        <w:rPr>
          <w:rFonts w:ascii="华文中宋" w:hAnsi="华文中宋" w:eastAsia="华文中宋"/>
          <w:b/>
          <w:sz w:val="44"/>
        </w:rPr>
        <w:t>美国DARPA"GARD"对抗性AI鲁棒性保障项目</w:t>
      </w:r>
    </w:p>
    <w:p>
      <w:pPr>
        <w:spacing w:before="240" w:after="120" w:line="560" w:lineRule="exact"/>
        <w:ind w:firstLine="363"/>
      </w:pPr>
      <w:r>
        <w:rPr>
          <w:rFonts w:ascii="黑体" w:hAnsi="黑体" w:eastAsia="黑体"/>
          <w:b/>
          <w:sz w:val="32"/>
        </w:rPr>
        <w:t>一、项目整体介绍</w:t>
      </w:r>
    </w:p>
    <w:p>
      <w:pPr>
        <w:spacing w:before="120" w:after="60" w:line="560" w:lineRule="exact"/>
        <w:ind w:firstLine="363"/>
      </w:pPr>
      <w:r>
        <w:rPr>
          <w:rFonts w:ascii="楷体" w:hAnsi="楷体" w:eastAsia="楷体"/>
          <w:b/>
          <w:sz w:val="32"/>
        </w:rPr>
        <w:t>（一）项目立项背景与依据</w:t>
      </w:r>
    </w:p>
    <w:p>
      <w:pPr>
        <w:spacing w:before="0" w:after="0" w:line="560" w:lineRule="exact"/>
        <w:ind w:firstLine="363"/>
      </w:pPr>
      <w:r>
        <w:rPr>
          <w:rFonts w:ascii="仿宋" w:hAnsi="仿宋" w:eastAsia="仿宋"/>
          <w:b w:val="0"/>
          <w:sz w:val="32"/>
        </w:rPr>
        <w:t>机器学习（ML）组件在先进系统中的日益复杂和普及极大扩展了能力，但也增加了新漏洞的潜在风险。当前对抗性AI研究聚焦于对ML输入进行不可感知的扰动以欺骗ML分类器、改变其响应的方法。此类结果催生了一个快速扩张的研究领域，特征是日益复杂的攻击——这些攻击需要对被攻击ML系统越来越少的知识，同时对防御性反制措施越来越有效。尽管对抗性AI领域相对年轻，但已有数十种攻击和防御方法被提出，目前缺乏对ML漏洞的全面理论理解。</w:t>
      </w:r>
    </w:p>
    <w:p>
      <w:pPr>
        <w:spacing w:before="0" w:after="0" w:line="560" w:lineRule="exact"/>
        <w:ind w:firstLine="363"/>
      </w:pPr>
      <w:r>
        <w:rPr>
          <w:rFonts w:ascii="仿宋" w:hAnsi="仿宋" w:eastAsia="仿宋"/>
          <w:b w:val="0"/>
          <w:sz w:val="32"/>
        </w:rPr>
        <w:t>当前ML防御倾向于高度特异化，仅对特定攻击有效。此外，当前AI鲁棒性评估范式通常聚焦于可能与安全无关的简化指标。</w:t>
      </w:r>
    </w:p>
    <w:p>
      <w:pPr>
        <w:spacing w:before="120" w:after="60" w:line="560" w:lineRule="exact"/>
        <w:ind w:firstLine="363"/>
      </w:pPr>
      <w:r>
        <w:rPr>
          <w:rFonts w:ascii="楷体" w:hAnsi="楷体" w:eastAsia="楷体"/>
          <w:b/>
          <w:sz w:val="32"/>
        </w:rPr>
        <w:t>（二）项目核心定位与研究目标</w:t>
      </w:r>
    </w:p>
    <w:p>
      <w:pPr>
        <w:spacing w:before="0" w:after="0" w:line="560" w:lineRule="exact"/>
        <w:ind w:firstLine="363"/>
      </w:pPr>
      <w:r>
        <w:rPr>
          <w:rFonts w:ascii="仿宋" w:hAnsi="仿宋" w:eastAsia="仿宋"/>
          <w:b w:val="0"/>
          <w:sz w:val="32"/>
        </w:rPr>
        <w:t>GARD项目旨在建立ML系统的理论基础，以识别系统漏洞、表征增强系统鲁棒性的属性，并鼓励创建有效防御。两大核心目标：1）开发能够防御广泛攻击类别的防御方法（而非仅防御特定攻击）；2）在使用基于场景评估的新颖试验床中验证防御的安全相关性和广泛适用性。</w:t>
      </w:r>
    </w:p>
    <w:p>
      <w:pPr>
        <w:spacing w:before="120" w:after="60" w:line="560" w:lineRule="exact"/>
        <w:ind w:firstLine="363"/>
      </w:pPr>
      <w:r>
        <w:rPr>
          <w:rFonts w:ascii="楷体" w:hAnsi="楷体" w:eastAsia="楷体"/>
          <w:b/>
          <w:sz w:val="32"/>
        </w:rPr>
        <w:t>（三）项目实施主体与协作部门</w:t>
      </w:r>
    </w:p>
    <w:p>
      <w:pPr>
        <w:spacing w:before="0" w:after="0" w:line="560" w:lineRule="exact"/>
        <w:ind w:firstLine="363"/>
      </w:pPr>
      <w:r>
        <w:rPr>
          <w:rFonts w:ascii="仿宋" w:hAnsi="仿宋" w:eastAsia="仿宋"/>
          <w:b w:val="0"/>
          <w:sz w:val="32"/>
        </w:rPr>
        <w:t>GARD项目由DARPA信息处理技术办公室（IPTO）负责管理。项目主任为Nathaniel Bastian（DARPA页面确认）。执行方包括Two Six Technologies、IBM、MITRE、芝加哥大学（University of Chicago）、Google Research（DARPA页面明确列出）。</w:t>
      </w:r>
    </w:p>
    <w:p>
      <w:pPr>
        <w:spacing w:before="240" w:after="120" w:line="560" w:lineRule="exact"/>
        <w:ind w:firstLine="363"/>
      </w:pPr>
      <w:r>
        <w:rPr>
          <w:rFonts w:ascii="黑体" w:hAnsi="黑体" w:eastAsia="黑体"/>
          <w:b/>
          <w:sz w:val="32"/>
        </w:rPr>
        <w:t>二、项目核心参数与试验范围</w:t>
      </w:r>
    </w:p>
    <w:p>
      <w:pPr>
        <w:spacing w:before="120" w:after="60" w:line="560" w:lineRule="exact"/>
        <w:ind w:firstLine="363"/>
      </w:pPr>
      <w:r>
        <w:rPr>
          <w:rFonts w:ascii="楷体" w:hAnsi="楷体" w:eastAsia="楷体"/>
          <w:b/>
          <w:sz w:val="32"/>
        </w:rPr>
        <w:t>（一）试验对象与核心研究内容</w:t>
      </w:r>
    </w:p>
    <w:p>
      <w:pPr>
        <w:spacing w:before="0" w:after="0" w:line="560" w:lineRule="exact"/>
        <w:ind w:firstLine="363"/>
      </w:pPr>
      <w:r>
        <w:rPr>
          <w:rFonts w:ascii="仿宋" w:hAnsi="仿宋" w:eastAsia="仿宋"/>
          <w:b w:val="0"/>
          <w:sz w:val="32"/>
        </w:rPr>
        <w:t>试验对象为ML系统的对抗性漏洞和防御。核心研究内容：1）ML系统漏洞理论基础；2）广谱防御方法——对广泛攻击类别有效；3）基于场景的评估——替代简化指标。</w:t>
      </w:r>
    </w:p>
    <w:p>
      <w:pPr>
        <w:spacing w:before="120" w:after="60" w:line="560" w:lineRule="exact"/>
        <w:ind w:firstLine="363"/>
      </w:pPr>
      <w:r>
        <w:rPr>
          <w:rFonts w:ascii="楷体" w:hAnsi="楷体" w:eastAsia="楷体"/>
          <w:b/>
          <w:sz w:val="32"/>
        </w:rPr>
        <w:t>（二）试验覆盖场景与适用边界</w:t>
      </w:r>
    </w:p>
    <w:p>
      <w:pPr>
        <w:spacing w:before="0" w:after="0" w:line="560" w:lineRule="exact"/>
        <w:ind w:firstLine="363"/>
      </w:pPr>
      <w:r>
        <w:rPr>
          <w:rFonts w:ascii="仿宋" w:hAnsi="仿宋" w:eastAsia="仿宋"/>
          <w:b w:val="0"/>
          <w:sz w:val="32"/>
        </w:rPr>
        <w:t>项目覆盖ML分类器的对抗性攻击场景，包括对输入的不可感知扰动。评估采用基于场景的方法（scenario-based evaluations），验证安全相关性和广泛适用性。</w:t>
      </w:r>
    </w:p>
    <w:p>
      <w:pPr>
        <w:spacing w:before="120" w:after="60" w:line="560" w:lineRule="exact"/>
        <w:ind w:firstLine="363"/>
      </w:pPr>
      <w:r>
        <w:rPr>
          <w:rFonts w:ascii="楷体" w:hAnsi="楷体" w:eastAsia="楷体"/>
          <w:b/>
          <w:sz w:val="32"/>
        </w:rPr>
        <w:t>（四）项目重难点与攻关方向</w:t>
      </w:r>
    </w:p>
    <w:p>
      <w:pPr>
        <w:spacing w:before="0" w:after="0" w:line="560" w:lineRule="exact"/>
        <w:ind w:firstLine="363"/>
      </w:pPr>
      <w:r>
        <w:rPr>
          <w:rFonts w:ascii="仿宋" w:hAnsi="仿宋" w:eastAsia="仿宋"/>
          <w:b w:val="0"/>
          <w:sz w:val="32"/>
        </w:rPr>
        <w:t>1. 理论基础缺失：缺乏对ML漏洞的全面理论理解。2. 防御广谱性：当前防御高度特异化，需开发对广泛攻击类别有效的防御。3. 评估方法学：需建立安全相关的场景化评估替代简化指标。</w:t>
      </w:r>
    </w:p>
    <w:p>
      <w:pPr>
        <w:spacing w:before="240" w:after="120" w:line="560" w:lineRule="exact"/>
        <w:ind w:firstLine="363"/>
      </w:pPr>
      <w:r>
        <w:rPr>
          <w:rFonts w:ascii="黑体" w:hAnsi="黑体" w:eastAsia="黑体"/>
          <w:b/>
          <w:sz w:val="32"/>
        </w:rPr>
        <w:t>三、项目组织与实施体系</w:t>
      </w:r>
    </w:p>
    <w:p>
      <w:pPr>
        <w:spacing w:before="120" w:after="60" w:line="560" w:lineRule="exact"/>
        <w:ind w:firstLine="363"/>
      </w:pPr>
      <w:r>
        <w:rPr>
          <w:rFonts w:ascii="楷体" w:hAnsi="楷体" w:eastAsia="楷体"/>
          <w:b/>
          <w:sz w:val="32"/>
        </w:rPr>
        <w:t>（二）试验配套资源与保障条件</w:t>
      </w:r>
    </w:p>
    <w:p>
      <w:pPr>
        <w:spacing w:before="0" w:after="0" w:line="560" w:lineRule="exact"/>
        <w:ind w:firstLine="363"/>
      </w:pPr>
      <w:r>
        <w:rPr>
          <w:rFonts w:ascii="仿宋" w:hAnsi="仿宋" w:eastAsia="仿宋"/>
          <w:b w:val="0"/>
          <w:sz w:val="32"/>
        </w:rPr>
        <w:t>项目产出以下开源资源供更广泛研究社区使用：1）Armory虚拟平台（GitHub）：可重复、可扩展的对抗性防御评估试验床；2）Adversarial Robustness Toolbox (ART)：ML模型对抗性威胁防御与评估工具箱；3）APRICOT数据集：支持物理对抗性补丁攻击对目标检测系统实际效果的可复现研究；4）Google Research Self-Study仓库：包含代表防御构建常见思路的"测试替身"。</w:t>
      </w:r>
    </w:p>
    <w:p>
      <w:pPr>
        <w:spacing w:before="240" w:after="120" w:line="560" w:lineRule="exact"/>
        <w:ind w:firstLine="363"/>
      </w:pPr>
      <w:r>
        <w:rPr>
          <w:rFonts w:ascii="黑体" w:hAnsi="黑体" w:eastAsia="黑体"/>
          <w:b/>
          <w:sz w:val="32"/>
        </w:rPr>
        <w:t>四、试验方案与开展过程</w:t>
      </w:r>
    </w:p>
    <w:p>
      <w:pPr>
        <w:spacing w:before="120" w:after="60" w:line="560" w:lineRule="exact"/>
        <w:ind w:firstLine="363"/>
      </w:pPr>
      <w:r>
        <w:rPr>
          <w:rFonts w:ascii="楷体" w:hAnsi="楷体" w:eastAsia="楷体"/>
          <w:b/>
          <w:sz w:val="32"/>
        </w:rPr>
        <w:t>（一）试验总体设计方案</w:t>
      </w:r>
    </w:p>
    <w:p>
      <w:pPr>
        <w:spacing w:before="0" w:after="0" w:line="560" w:lineRule="exact"/>
        <w:ind w:firstLine="363"/>
      </w:pPr>
      <w:r>
        <w:rPr>
          <w:rFonts w:ascii="仿宋" w:hAnsi="仿宋" w:eastAsia="仿宋"/>
          <w:b w:val="0"/>
          <w:sz w:val="32"/>
        </w:rPr>
        <w:t>GARD采用基于场景的评估（scenario-based evaluations）作为核心试验设计方法，替代传统简化指标。使用Armory虚拟平台作为试验床。</w:t>
      </w:r>
    </w:p>
    <w:p>
      <w:pPr>
        <w:spacing w:before="120" w:after="60" w:line="560" w:lineRule="exact"/>
        <w:ind w:firstLine="363"/>
      </w:pPr>
      <w:r>
        <w:rPr>
          <w:rFonts w:ascii="楷体" w:hAnsi="楷体" w:eastAsia="楷体"/>
          <w:b/>
          <w:sz w:val="32"/>
        </w:rPr>
        <w:t>（三）试验设备与测试体系</w:t>
      </w:r>
    </w:p>
    <w:p>
      <w:pPr>
        <w:spacing w:before="0" w:after="0" w:line="560" w:lineRule="exact"/>
        <w:ind w:firstLine="363"/>
      </w:pPr>
      <w:r>
        <w:rPr>
          <w:rFonts w:ascii="仿宋" w:hAnsi="仿宋" w:eastAsia="仿宋"/>
          <w:b w:val="0"/>
          <w:sz w:val="32"/>
        </w:rPr>
        <w:t>1. Armory虚拟平台：可重复、可扩展的对抗性防御评估试验床。2. ART工具箱：防御和评估ML模型免受多种对抗威胁。3. APRICOT数据集：物理对抗性补丁攻击可复现研究。4. Google Research Self-Study仓库：防御方法"测试替身"。</w:t>
      </w:r>
    </w:p>
    <w:p>
      <w:pPr>
        <w:spacing w:before="240" w:after="120" w:line="560" w:lineRule="exact"/>
        <w:ind w:firstLine="363"/>
      </w:pPr>
      <w:r>
        <w:rPr>
          <w:rFonts w:ascii="黑体" w:hAnsi="黑体" w:eastAsia="黑体"/>
          <w:b/>
          <w:sz w:val="32"/>
        </w:rPr>
        <w:t>八、项目成果与后续应用发展</w:t>
      </w:r>
    </w:p>
    <w:p>
      <w:pPr>
        <w:spacing w:before="120" w:after="60" w:line="560" w:lineRule="exact"/>
        <w:ind w:firstLine="363"/>
      </w:pPr>
      <w:r>
        <w:rPr>
          <w:rFonts w:ascii="楷体" w:hAnsi="楷体" w:eastAsia="楷体"/>
          <w:b/>
          <w:sz w:val="32"/>
        </w:rPr>
        <w:t>（一）项目核心成果与技术突破</w:t>
      </w:r>
    </w:p>
    <w:p>
      <w:pPr>
        <w:spacing w:before="0" w:after="0" w:line="560" w:lineRule="exact"/>
        <w:ind w:firstLine="363"/>
      </w:pPr>
      <w:r>
        <w:rPr>
          <w:rFonts w:ascii="仿宋" w:hAnsi="仿宋" w:eastAsia="仿宋"/>
          <w:b w:val="0"/>
          <w:sz w:val="32"/>
        </w:rPr>
        <w:t>1. Armory虚拟平台（GitHub开源）。2. Adversarial Robustness Toolbox (ART)。3. APRICOT数据集。4. Google Research Self-Study仓库。5. ML系统漏洞理论基础贡献。</w:t>
      </w:r>
    </w:p>
    <w:p>
      <w:pPr>
        <w:spacing w:before="120" w:after="60" w:line="560" w:lineRule="exact"/>
        <w:ind w:firstLine="363"/>
      </w:pPr>
      <w:r>
        <w:rPr>
          <w:rFonts w:ascii="楷体" w:hAnsi="楷体" w:eastAsia="楷体"/>
          <w:b/>
          <w:sz w:val="32"/>
        </w:rPr>
        <w:t>（二）现有成果落地应用场景</w:t>
      </w:r>
    </w:p>
    <w:p>
      <w:pPr>
        <w:spacing w:before="0" w:after="0" w:line="560" w:lineRule="exact"/>
        <w:ind w:firstLine="363"/>
      </w:pPr>
      <w:r>
        <w:rPr>
          <w:rFonts w:ascii="仿宋" w:hAnsi="仿宋" w:eastAsia="仿宋"/>
          <w:b w:val="0"/>
          <w:sz w:val="32"/>
        </w:rPr>
        <w:t>所有产出物已开源供更广泛研究社区使用。DARPA鼓励感兴趣的研究者利用这些资源。</w:t>
      </w:r>
    </w:p>
    <w:p>
      <w:pPr>
        <w:spacing w:before="120" w:after="60" w:line="560" w:lineRule="exact"/>
        <w:ind w:firstLine="363"/>
      </w:pPr>
      <w:r>
        <w:rPr>
          <w:rFonts w:ascii="楷体" w:hAnsi="楷体" w:eastAsia="楷体"/>
          <w:b/>
          <w:sz w:val="32"/>
        </w:rPr>
        <w:t>（四）领域推广价值与发展趋势</w:t>
      </w:r>
    </w:p>
    <w:p>
      <w:pPr>
        <w:spacing w:before="0" w:after="0" w:line="560" w:lineRule="exact"/>
        <w:ind w:firstLine="363"/>
      </w:pPr>
      <w:r>
        <w:rPr>
          <w:rFonts w:ascii="仿宋" w:hAnsi="仿宋" w:eastAsia="仿宋"/>
          <w:b w:val="0"/>
          <w:sz w:val="32"/>
        </w:rPr>
        <w:t>以下为基于项目产出物的合理推演：GARD的对抗性鲁棒性研究对认知域作战中AI系统的安全防御具有直接价值——认知域作战中的AI分析工具（如虚假信息检测、情感分析）面临对抗性攻击风险，GARD的防御方法和评估框架可用于增强这些工具的鲁棒性。</w:t>
      </w:r>
    </w:p>
    <w:p>
      <w:pPr>
        <w:spacing w:before="240" w:after="120" w:line="560" w:lineRule="exact"/>
        <w:ind w:firstLine="363"/>
      </w:pPr>
      <w:r>
        <w:rPr>
          <w:rFonts w:ascii="黑体" w:hAnsi="黑体" w:eastAsia="黑体"/>
          <w:b/>
          <w:sz w:val="32"/>
        </w:rPr>
        <w:t>参考文献</w:t>
      </w:r>
    </w:p>
    <w:p>
      <w:pPr>
        <w:spacing w:before="0" w:after="0" w:line="560" w:lineRule="exact"/>
        <w:ind w:firstLine="363"/>
      </w:pPr>
      <w:r>
        <w:rPr>
          <w:rFonts w:ascii="仿宋" w:hAnsi="仿宋" w:eastAsia="仿宋"/>
          <w:b w:val="0"/>
          <w:sz w:val="28"/>
        </w:rPr>
        <w:t>① DARPA, "GARD: Guaranteeing AI Robustness Against Deception," https://www.darpa.mil/research/programs/guaranteeing-ai-robustness-against-deception</w:t>
      </w:r>
    </w:p>
    <w:p>
      <w:pPr>
        <w:spacing w:before="0" w:after="0" w:line="560" w:lineRule="exact"/>
        <w:ind w:firstLine="363"/>
      </w:pPr>
      <w:r>
        <w:rPr>
          <w:rFonts w:ascii="仿宋" w:hAnsi="仿宋" w:eastAsia="仿宋"/>
          <w:b w:val="0"/>
          <w:sz w:val="28"/>
        </w:rPr>
        <w:t>② Two Six Technologies, "Armory," https://github.com/twosixlabs/armory</w:t>
      </w:r>
    </w:p>
    <w:p>
      <w:pPr>
        <w:spacing w:before="0" w:after="0" w:line="560" w:lineRule="exact"/>
        <w:ind w:firstLine="363"/>
      </w:pPr>
      <w:r>
        <w:rPr>
          <w:rFonts w:ascii="仿宋" w:hAnsi="仿宋" w:eastAsia="仿宋"/>
          <w:b w:val="0"/>
          <w:sz w:val="28"/>
        </w:rPr>
        <w:t>③ IBM, "Adversarial Robustness Toolbox (ART)," https://github.com/Trusted-AI/adversarial-robustness-toolbox</w:t>
      </w:r>
    </w:p>
    <w:p>
      <w:pPr>
        <w:spacing w:before="0" w:after="0" w:line="560" w:lineRule="exact"/>
        <w:ind w:firstLine="363"/>
      </w:pPr>
      <w:r>
        <w:rPr>
          <w:rFonts w:ascii="仿宋" w:hAnsi="仿宋" w:eastAsia="仿宋"/>
          <w:b w:val="0"/>
          <w:sz w:val="28"/>
        </w:rPr>
        <w:t>④ MITRE/APRICOT Dataset, https://github.com/IllinoisDSL/apricot</w:t>
      </w:r>
    </w:p>
    <w:p>
      <w:pPr>
        <w:spacing w:before="0" w:after="0" w:line="560" w:lineRule="exact"/>
        <w:ind w:firstLine="363"/>
      </w:pPr>
      <w:r>
        <w:rPr>
          <w:rFonts w:ascii="仿宋" w:hAnsi="仿宋" w:eastAsia="仿宋"/>
          <w:b w:val="0"/>
          <w:sz w:val="28"/>
        </w:rPr>
        <w:t>⑤ Google Research Self-Study, https://github.com/google-research/self-study-ml-defenses</w:t>
      </w:r>
    </w:p>
    <w:p>
      <w:pPr>
        <w:spacing w:before="0" w:after="0" w:line="560" w:lineRule="exact"/>
        <w:ind w:firstLine="363"/>
      </w:pPr>
      <w:r>
        <w:rPr>
          <w:rFonts w:ascii="仿宋" w:hAnsi="仿宋" w:eastAsia="仿宋"/>
          <w:b w:val="0"/>
          <w:sz w:val="28"/>
        </w:rPr>
        <w:t>⑥ Goodfellow I, et al. "Explaining and Harnessing Adversarial Examples," ICLR 2015</w:t>
      </w:r>
    </w:p>
    <w:p>
      <w:pPr>
        <w:spacing w:before="0" w:after="0" w:line="560" w:lineRule="exact"/>
        <w:ind w:firstLine="363"/>
      </w:pPr>
      <w:r>
        <w:rPr>
          <w:rFonts w:ascii="仿宋" w:hAnsi="仿宋" w:eastAsia="仿宋"/>
          <w:b w:val="0"/>
          <w:sz w:val="28"/>
        </w:rPr>
        <w:t>⑦ Madry A, et al. "Towards Deep Learning Models Resistant to Adversarial Attacks," ICLR 2018</w:t>
      </w:r>
    </w:p>
    <w:p>
      <w:pPr>
        <w:spacing w:before="0" w:after="0" w:line="560" w:lineRule="exact"/>
        <w:ind w:firstLine="363"/>
      </w:pPr>
      <w:r>
        <w:rPr>
          <w:rFonts w:ascii="仿宋" w:hAnsi="仿宋" w:eastAsia="仿宋"/>
          <w:b w:val="0"/>
          <w:sz w:val="28"/>
        </w:rPr>
        <w:t>⑧ Carlini N, Wagner D, "Towards Evaluating the Robustness of Neural Networks," IEEE S&amp;P 2017</w:t>
      </w:r>
    </w:p>
    <w:p>
      <w:pPr>
        <w:spacing w:before="0" w:after="0" w:line="560" w:lineRule="exact"/>
        <w:ind w:firstLine="363"/>
      </w:pPr>
      <w:r>
        <w:rPr>
          <w:rFonts w:ascii="仿宋" w:hAnsi="仿宋" w:eastAsia="仿宋"/>
          <w:b w:val="0"/>
          <w:sz w:val="28"/>
        </w:rPr>
        <w:t>⑨ Athalye A, et al. "Obfuscated Gradients Give a False Sense of Security," ICML 2018</w:t>
      </w:r>
    </w:p>
    <w:p>
      <w:pPr>
        <w:spacing w:before="0" w:after="0" w:line="560" w:lineRule="exact"/>
        <w:ind w:firstLine="363"/>
      </w:pPr>
      <w:r>
        <w:rPr>
          <w:rFonts w:ascii="仿宋" w:hAnsi="仿宋" w:eastAsia="仿宋"/>
          <w:b w:val="0"/>
          <w:sz w:val="28"/>
        </w:rPr>
        <w:t>⑩ NATO STO, "Cognitive Warfare," 2021</w:t>
      </w:r>
    </w:p>
    <w:p>
      <w:pPr>
        <w:spacing w:before="0" w:after="0" w:line="560" w:lineRule="exact"/>
        <w:ind w:firstLine="363"/>
      </w:pPr>
      <w:r>
        <w:rPr>
          <w:rFonts w:ascii="仿宋" w:hAnsi="仿宋" w:eastAsia="仿宋"/>
          <w:b w:val="0"/>
          <w:sz w:val="28"/>
        </w:rPr>
        <w:t>⑪ Bastian N, GARD Program Manager, DARPA IPTO</w:t>
      </w:r>
    </w:p>
    <w:p>
      <w:pPr>
        <w:spacing w:before="0" w:after="0" w:line="560" w:lineRule="exact"/>
        <w:ind w:firstLine="363"/>
      </w:pPr>
      <w:r>
        <w:rPr>
          <w:rFonts w:ascii="仿宋" w:hAnsi="仿宋" w:eastAsia="仿宋"/>
          <w:b w:val="0"/>
          <w:sz w:val="28"/>
        </w:rPr>
        <w:t>⑫ DARPA, "SemaFor," https://www.darpa.mil/research/programs/semantic-forensics</w:t>
      </w:r>
    </w:p>
    <w:p>
      <w:pPr>
        <w:spacing w:before="0" w:after="0" w:line="560" w:lineRule="exact"/>
        <w:ind w:firstLine="363"/>
      </w:pPr>
      <w:r>
        <w:rPr>
          <w:rFonts w:ascii="仿宋" w:hAnsi="仿宋" w:eastAsia="仿宋"/>
          <w:b w:val="0"/>
          <w:sz w:val="28"/>
        </w:rPr>
        <w:t>⑬ DARPA, "IPTO," https://www.darpa.mil/office/information-processing-techniques-office</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