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美国DARPA"N3"下一代非侵入式神经技术项目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N3（Next-Generation Nonsurgical Neurotechnology）项目旨在为健全服役人员开发高性能、双向脑机接口。此类接口将是多种国家安全应用的使能技术，如控制无人机和主动网络防御系统，或与计算机系统协作在复杂军事任务中成功多任务处理。</w:t>
      </w:r>
    </w:p>
    <w:p>
      <w:pPr>
        <w:spacing w:before="0" w:after="0" w:line="560" w:lineRule="exact"/>
        <w:ind w:firstLine="363"/>
      </w:pPr>
      <w:r>
        <w:rPr>
          <w:rFonts w:ascii="仿宋" w:hAnsi="仿宋" w:eastAsia="仿宋"/>
          <w:b w:val="0"/>
          <w:sz w:val="32"/>
        </w:rPr>
        <w:t>最有效的现有神经接口需要手术将电极植入大脑，而N3技术不需要手术，且为单人便携式，使技术可被更广泛的潜在用户群体使用。现有的非侵入式神经技术如脑电图和经颅直流电刺激无法提供先进应用在真实世界环境中所需的精度、信号分辨率和便携性。</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N3愿景技术突破现有技术局限：交付一种不需要手术植入的集成设备，但具有在50ms内对16mm³神经组织内16个独立通道进行读写操作的精度。每个通道能够与大脑亚毫米区域特异性交互，其空间和时间特异性可媲美现有侵入式方法。单个设备可组合以同时与大脑多个点进行接口。</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N3项目由DARPA生物技术办公室（BTO）负责管理。具体执行方根据公开信息暂未获取。</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DARPA页面标注"此项目已完成"（This program is now complete）。具体启动和结项时间根据公开信息暂未获取。</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N3研究内容：1）信号穿透物理挑战——信号穿过皮肤、颅骨和脑组织时的散射和衰减物理问题；2）编解码算法——设计以光、声或电磁能量等其他模态表示的神经信号的解码和编码算法。</w:t>
      </w:r>
    </w:p>
    <w:p>
      <w:pPr>
        <w:spacing w:before="120" w:after="60" w:line="560" w:lineRule="exact"/>
        <w:ind w:firstLine="363"/>
      </w:pPr>
      <w:r>
        <w:rPr>
          <w:rFonts w:ascii="楷体" w:hAnsi="楷体" w:eastAsia="楷体"/>
          <w:b/>
          <w:sz w:val="32"/>
        </w:rPr>
        <w:t>（二）技术指标</w:t>
      </w:r>
    </w:p>
    <w:p>
      <w:pPr>
        <w:spacing w:before="0" w:after="0" w:line="560" w:lineRule="exact"/>
        <w:ind w:firstLine="363"/>
      </w:pPr>
      <w:r>
        <w:rPr>
          <w:rFonts w:ascii="仿宋" w:hAnsi="仿宋" w:eastAsia="仿宋"/>
          <w:b w:val="0"/>
          <w:sz w:val="32"/>
        </w:rPr>
        <w:t>核心技术指标：1）16个独立通道；2）16mm³体积内的神经组织；3）50ms响应时间；4）亚毫米级空间特异性；5）与侵入式方法相当的时间和空间特异性；6）不需要手术植入；7）单人便携。</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N3的非侵入式脑机接口技术对认知域作战中的人机协同具有重要价值。非侵入式双向接口可用于增强作战人员的认知能力（如加速信息处理、增强注意力），或实现意念控制的无人系统和网络防御操作。便携式设计使技术可广泛应用于前线作战人员。</w:t>
      </w:r>
    </w:p>
    <w:p>
      <w:pPr>
        <w:spacing w:before="0" w:after="0" w:line="560" w:lineRule="exact"/>
        <w:ind w:firstLine="363"/>
      </w:pPr>
      <w:r>
        <w:rPr>
          <w:rFonts w:ascii="仿宋" w:hAnsi="仿宋"/>
          <w:sz w:val="28"/>
        </w:rPr>
        <w:t>① DARPA, "N3: Next-Generation Nonsurgical Neurotechnology," https://www.darpa.mil/research/programs/next-generation-nonsurgical-neurotechnology</w:t>
      </w:r>
    </w:p>
    <w:p>
      <w:pPr>
        <w:spacing w:before="0" w:after="0" w:line="560" w:lineRule="exact"/>
        <w:ind w:firstLine="363"/>
      </w:pPr>
      <w:r>
        <w:rPr>
          <w:rFonts w:ascii="仿宋" w:hAnsi="仿宋"/>
          <w:sz w:val="28"/>
        </w:rPr>
        <w:t>② DARPA, "NESD: Neural Engineering System Design," https://www.darpa.mil/research/programs/neural-engineering-system-design</w:t>
      </w:r>
    </w:p>
    <w:p>
      <w:pPr>
        <w:spacing w:before="0" w:after="0" w:line="560" w:lineRule="exact"/>
        <w:ind w:firstLine="363"/>
      </w:pPr>
      <w:r>
        <w:rPr>
          <w:rFonts w:ascii="仿宋" w:hAnsi="仿宋"/>
          <w:sz w:val="28"/>
        </w:rPr>
        <w:t>③ DARPA, "SUBNETS," https://www.darpa.mil/research/programs/systems-based-neurotechnology-for-emerging-therapies</w:t>
      </w:r>
    </w:p>
    <w:p>
      <w:pPr>
        <w:spacing w:before="0" w:after="0" w:line="560" w:lineRule="exact"/>
        <w:ind w:firstLine="363"/>
      </w:pPr>
      <w:r>
        <w:rPr>
          <w:rFonts w:ascii="仿宋" w:hAnsi="仿宋"/>
          <w:sz w:val="28"/>
        </w:rPr>
        <w:t>④ DARPA, "TNT: Targeted Neuroplasticity Training," https://www.darpa.mil/research/programs/targeted-neuroplasticity-training</w:t>
      </w:r>
    </w:p>
    <w:p>
      <w:pPr>
        <w:spacing w:before="0" w:after="0" w:line="560" w:lineRule="exact"/>
        <w:ind w:firstLine="363"/>
      </w:pPr>
      <w:r>
        <w:rPr>
          <w:rFonts w:ascii="仿宋" w:hAnsi="仿宋"/>
          <w:sz w:val="28"/>
        </w:rPr>
        <w:t>⑤ DARPA, "RAM: Restoring Active Memory," https://www.darpa.mil/research/programs/restoring-active-memory</w:t>
      </w:r>
    </w:p>
    <w:p>
      <w:pPr>
        <w:spacing w:before="0" w:after="0" w:line="560" w:lineRule="exact"/>
        <w:ind w:firstLine="363"/>
      </w:pPr>
      <w:r>
        <w:rPr>
          <w:rFonts w:ascii="仿宋" w:hAnsi="仿宋"/>
          <w:sz w:val="28"/>
        </w:rPr>
        <w:t>⑥ DARPA, "Biological Technologies Office," https://www.darpa.mil/office/biological-technologies</w:t>
      </w:r>
    </w:p>
    <w:p>
      <w:pPr>
        <w:spacing w:before="0" w:after="0" w:line="560" w:lineRule="exact"/>
        <w:ind w:firstLine="363"/>
      </w:pPr>
      <w:r>
        <w:rPr>
          <w:rFonts w:ascii="仿宋" w:hAnsi="仿宋"/>
          <w:sz w:val="28"/>
        </w:rPr>
        <w:t>⑦ NATO STO, "Cognitive Warfare," 2021</w:t>
      </w:r>
    </w:p>
    <w:p>
      <w:pPr>
        <w:spacing w:before="0" w:after="0" w:line="560" w:lineRule="exact"/>
        <w:ind w:firstLine="363"/>
      </w:pPr>
      <w:r>
        <w:rPr>
          <w:rFonts w:ascii="仿宋" w:hAnsi="仿宋"/>
          <w:sz w:val="28"/>
        </w:rPr>
        <w:t>⑧ Leuthardt EC, et al. "Brain-Computer Interfaces," Neurosurgery, 2019</w:t>
      </w:r>
    </w:p>
    <w:p>
      <w:pPr>
        <w:spacing w:before="0" w:after="0" w:line="560" w:lineRule="exact"/>
        <w:ind w:firstLine="363"/>
      </w:pPr>
      <w:r>
        <w:rPr>
          <w:rFonts w:ascii="仿宋" w:hAnsi="仿宋"/>
          <w:sz w:val="28"/>
        </w:rPr>
        <w:t>⑨ DARPA, "HAPTIX," https://www.darpa.mil/research/programs/hand-proprioception-and-touch-interfaces</w:t>
      </w:r>
    </w:p>
    <w:p>
      <w:pPr>
        <w:spacing w:before="0" w:after="0" w:line="560" w:lineRule="exact"/>
        <w:ind w:firstLine="363"/>
      </w:pPr>
      <w:r>
        <w:rPr>
          <w:rFonts w:ascii="仿宋" w:hAnsi="仿宋"/>
          <w:sz w:val="28"/>
        </w:rPr>
        <w:t>⑩ Shih JJ, et al. "Brain-Computer Interfaces," Mayo Clinic Proceedings, 2012</w:t>
      </w:r>
    </w:p>
    <w:p>
      <w:pPr>
        <w:spacing w:before="0" w:after="0" w:line="560" w:lineRule="exact"/>
        <w:ind w:firstLine="363"/>
      </w:pPr>
      <w:r>
        <w:rPr>
          <w:rFonts w:ascii="仿宋" w:hAnsi="仿宋"/>
          <w:sz w:val="28"/>
        </w:rPr>
        <w:t>⑪ DARPA, "BTO Programs," https://www.darpa.mil/office/biological-technologies</w:t>
      </w:r>
    </w:p>
    <w:p>
      <w:pPr>
        <w:spacing w:before="0" w:after="0" w:line="560" w:lineRule="exact"/>
        <w:ind w:firstLine="363"/>
      </w:pPr>
      <w:r>
        <w:rPr>
          <w:rFonts w:ascii="仿宋" w:hAnsi="仿宋"/>
          <w:sz w:val="28"/>
        </w:rPr>
        <w:t>⑫ DARPA N3 Proposers Day Announcement</w:t>
      </w:r>
    </w:p>
    <w:p>
      <w:pPr>
        <w:spacing w:before="0" w:after="0" w:line="560" w:lineRule="exact"/>
        <w:ind w:firstLine="363"/>
      </w:pPr>
      <w:r>
        <w:rPr>
          <w:rFonts w:ascii="仿宋" w:hAnsi="仿宋"/>
          <w:sz w:val="28"/>
        </w:rPr>
        <w:t>⑬ DARPA, "BRAIN Initiative," https://www.darpa.mil/</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