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560" w:lineRule="exact"/>
        <w:jc w:val="center"/>
      </w:pPr>
      <w:r>
        <w:rPr>
          <w:rFonts w:ascii="华文中宋" w:hAnsi="华文中宋" w:eastAsia="华文中宋"/>
          <w:b/>
          <w:sz w:val="44"/>
        </w:rPr>
        <w:t>美国DARPA"TNT"靶向神经可塑性学习增强项目</w:t>
      </w:r>
    </w:p>
    <w:p>
      <w:pPr>
        <w:spacing w:before="240" w:after="120" w:line="560" w:lineRule="exact"/>
        <w:ind w:firstLine="363"/>
      </w:pPr>
      <w:r>
        <w:rPr>
          <w:rFonts w:ascii="黑体" w:hAnsi="黑体" w:eastAsia="黑体"/>
          <w:b/>
          <w:sz w:val="32"/>
        </w:rPr>
        <w:t>一、项目整体介绍</w:t>
      </w:r>
    </w:p>
    <w:p>
      <w:pPr>
        <w:spacing w:before="120" w:after="60" w:line="560" w:lineRule="exact"/>
        <w:ind w:firstLine="363"/>
      </w:pPr>
      <w:r>
        <w:rPr>
          <w:rFonts w:ascii="楷体" w:hAnsi="楷体" w:eastAsia="楷体"/>
          <w:b/>
          <w:sz w:val="32"/>
        </w:rPr>
        <w:t>（一）项目立项背景与依据</w:t>
      </w:r>
    </w:p>
    <w:p>
      <w:pPr>
        <w:spacing w:before="0" w:after="0" w:line="560" w:lineRule="exact"/>
        <w:ind w:firstLine="363"/>
      </w:pPr>
      <w:r>
        <w:rPr>
          <w:rFonts w:ascii="仿宋" w:hAnsi="仿宋" w:eastAsia="仿宋"/>
          <w:b w:val="0"/>
          <w:sz w:val="32"/>
        </w:rPr>
        <w:t>TNT（Targeted Neuroplasticity Training）项目旨在支持军事人员在复杂多面任务中改善和加速训练。项目研究将非侵入式神经技术与训练相结合，以增强大脑中介导神经可塑性并促进新认知技能长期保留的神经化学信号传导。</w:t>
      </w:r>
    </w:p>
    <w:p>
      <w:pPr>
        <w:spacing w:before="120" w:after="60" w:line="560" w:lineRule="exact"/>
        <w:ind w:firstLine="363"/>
      </w:pPr>
      <w:r>
        <w:rPr>
          <w:rFonts w:ascii="楷体" w:hAnsi="楷体" w:eastAsia="楷体"/>
          <w:b/>
          <w:sz w:val="32"/>
        </w:rPr>
        <w:t>（二）项目核心定位与研究目标</w:t>
      </w:r>
    </w:p>
    <w:p>
      <w:pPr>
        <w:spacing w:before="0" w:after="0" w:line="560" w:lineRule="exact"/>
        <w:ind w:firstLine="363"/>
      </w:pPr>
      <w:r>
        <w:rPr>
          <w:rFonts w:ascii="仿宋" w:hAnsi="仿宋" w:eastAsia="仿宋"/>
          <w:b w:val="0"/>
          <w:sz w:val="32"/>
        </w:rPr>
        <w:t>若成功，TNT技术将适用于广泛的国防相关需求，包括外语学习、射击术、密码学、目标辨别和情报分析，在改善结果的同时降低国防部大量训练计划的时间和成本。</w:t>
      </w:r>
    </w:p>
    <w:p>
      <w:pPr>
        <w:spacing w:before="0" w:after="0" w:line="560" w:lineRule="exact"/>
        <w:ind w:firstLine="363"/>
      </w:pPr>
      <w:r>
        <w:rPr>
          <w:rFonts w:ascii="仿宋" w:hAnsi="仿宋" w:eastAsia="仿宋"/>
          <w:b w:val="0"/>
          <w:sz w:val="32"/>
        </w:rPr>
        <w:t>TNT聚焦于特定类型的学习——认知技能训练。前提是：在训练过程中的最佳时机，通过刺激精确激活外周神经可以增强乙酰胆碱、多巴胺、血清素和去甲肾上腺素等大脑化学物质的释放，这些物质促进和加强大脑中神经元连接。这些神经调节剂在调节突触可塑性——神经元之间连接改变以改善学习期间脑功能的过程——中发挥作用。通过将外周神经刺激与常规训练实践相结合，TNT项目寻求利用内源性神经回路来增强学习。</w:t>
      </w:r>
    </w:p>
    <w:p>
      <w:pPr>
        <w:spacing w:before="120" w:after="60" w:line="560" w:lineRule="exact"/>
        <w:ind w:firstLine="363"/>
      </w:pPr>
      <w:r>
        <w:rPr>
          <w:rFonts w:ascii="楷体" w:hAnsi="楷体" w:eastAsia="楷体"/>
          <w:b/>
          <w:sz w:val="32"/>
        </w:rPr>
        <w:t>（三）项目实施主体与协作部门</w:t>
      </w:r>
    </w:p>
    <w:p>
      <w:pPr>
        <w:spacing w:before="0" w:after="0" w:line="560" w:lineRule="exact"/>
        <w:ind w:firstLine="363"/>
      </w:pPr>
      <w:r>
        <w:rPr>
          <w:rFonts w:ascii="仿宋" w:hAnsi="仿宋" w:eastAsia="仿宋"/>
          <w:b w:val="0"/>
          <w:sz w:val="32"/>
        </w:rPr>
        <w:t>TNT项目由DARPA生物技术办公室（BTO）负责管理。DARPA采用分层方法：基础研究聚焦于理解神经刺激如何影响突触可塑性；工程侧开发非侵入式外周神经刺激方法；人体受试者研究确定外周神经刺激在关键训练活动中的帮助程度。</w:t>
      </w:r>
    </w:p>
    <w:p>
      <w:pPr>
        <w:spacing w:before="240" w:after="120" w:line="560" w:lineRule="exact"/>
        <w:ind w:firstLine="363"/>
      </w:pPr>
      <w:r>
        <w:rPr>
          <w:rFonts w:ascii="黑体" w:hAnsi="黑体" w:eastAsia="黑体"/>
          <w:b/>
          <w:sz w:val="32"/>
        </w:rPr>
        <w:t>二、项目核心参数与试验范围</w:t>
      </w:r>
    </w:p>
    <w:p>
      <w:pPr>
        <w:spacing w:before="120" w:after="60" w:line="560" w:lineRule="exact"/>
        <w:ind w:firstLine="363"/>
      </w:pPr>
      <w:r>
        <w:rPr>
          <w:rFonts w:ascii="楷体" w:hAnsi="楷体" w:eastAsia="楷体"/>
          <w:b/>
          <w:sz w:val="32"/>
        </w:rPr>
        <w:t>（一）试验对象与核心研究内容</w:t>
      </w:r>
    </w:p>
    <w:p>
      <w:pPr>
        <w:spacing w:before="0" w:after="0" w:line="560" w:lineRule="exact"/>
        <w:ind w:firstLine="363"/>
      </w:pPr>
      <w:r>
        <w:rPr>
          <w:rFonts w:ascii="仿宋" w:hAnsi="仿宋" w:eastAsia="仿宋"/>
          <w:b w:val="0"/>
          <w:sz w:val="32"/>
        </w:rPr>
        <w:t>项目核心研究内容：1）基础研究——理解神经刺激如何影响突触可塑性、认知技能学习过程如何被调节、如何安全加速技能习得同时避免潜在副作用；2）工程开发——开发增强负责认知功能脑区可塑性的非侵入式外周神经刺激方法；3）人体研究——确定外周神经刺激在关键训练活动中的帮助程度。</w:t>
      </w:r>
    </w:p>
    <w:p>
      <w:pPr>
        <w:spacing w:before="120" w:after="60" w:line="560" w:lineRule="exact"/>
        <w:ind w:firstLine="363"/>
      </w:pPr>
      <w:r>
        <w:rPr>
          <w:rFonts w:ascii="楷体" w:hAnsi="楷体" w:eastAsia="楷体"/>
          <w:b/>
          <w:sz w:val="32"/>
        </w:rPr>
        <w:t>（二）试验覆盖场景与适用边界</w:t>
      </w:r>
    </w:p>
    <w:p>
      <w:pPr>
        <w:spacing w:before="0" w:after="0" w:line="560" w:lineRule="exact"/>
        <w:ind w:firstLine="363"/>
      </w:pPr>
      <w:r>
        <w:rPr>
          <w:rFonts w:ascii="仿宋" w:hAnsi="仿宋" w:eastAsia="仿宋"/>
          <w:b w:val="0"/>
          <w:sz w:val="32"/>
        </w:rPr>
        <w:t>覆盖外语学习、射击术、密码学、目标辨别和情报分析等国防相关认知技能训练场景。</w:t>
      </w:r>
    </w:p>
    <w:p>
      <w:pPr>
        <w:spacing w:before="240" w:after="120" w:line="560" w:lineRule="exact"/>
        <w:ind w:firstLine="363"/>
      </w:pPr>
      <w:r>
        <w:rPr>
          <w:rFonts w:ascii="黑体" w:hAnsi="黑体" w:eastAsia="黑体"/>
          <w:b/>
          <w:sz w:val="32"/>
        </w:rPr>
        <w:t>八、项目成果与后续应用发展</w:t>
      </w:r>
    </w:p>
    <w:p>
      <w:pPr>
        <w:spacing w:before="120" w:after="60" w:line="560" w:lineRule="exact"/>
        <w:ind w:firstLine="363"/>
      </w:pPr>
      <w:r>
        <w:rPr>
          <w:rFonts w:ascii="楷体" w:hAnsi="楷体" w:eastAsia="楷体"/>
          <w:b/>
          <w:sz w:val="32"/>
        </w:rPr>
        <w:t>（四）领域推广价值与发展趋势</w:t>
      </w:r>
    </w:p>
    <w:p>
      <w:pPr>
        <w:spacing w:before="0" w:after="0" w:line="560" w:lineRule="exact"/>
        <w:ind w:firstLine="363"/>
      </w:pPr>
      <w:r>
        <w:rPr>
          <w:rFonts w:ascii="仿宋" w:hAnsi="仿宋" w:eastAsia="仿宋"/>
          <w:b w:val="0"/>
          <w:sz w:val="32"/>
        </w:rPr>
        <w:t>以下为基于项目概念框架的合理推演：TNT的非侵入式认知增强技术对认知域作战人员训练具有重要应用价值。外周神经刺激加速认知技能习得的原理可应用于认知域作战分析人员的快速培训，如外语能力加速习得、跨文化理解能力增强、情报分析技能提升等。</w:t>
      </w:r>
    </w:p>
    <w:p>
      <w:pPr>
        <w:spacing w:before="240" w:after="120" w:line="560" w:lineRule="exact"/>
        <w:ind w:firstLine="363"/>
      </w:pPr>
      <w:r>
        <w:rPr>
          <w:rFonts w:ascii="黑体" w:hAnsi="黑体" w:eastAsia="黑体"/>
          <w:b/>
          <w:sz w:val="32"/>
        </w:rPr>
        <w:t>参考文献</w:t>
      </w:r>
    </w:p>
    <w:p>
      <w:pPr>
        <w:spacing w:before="0" w:after="0" w:line="560" w:lineRule="exact"/>
        <w:ind w:firstLine="363"/>
      </w:pPr>
      <w:r>
        <w:rPr>
          <w:rFonts w:ascii="仿宋" w:hAnsi="仿宋" w:eastAsia="仿宋"/>
          <w:b w:val="0"/>
          <w:sz w:val="28"/>
        </w:rPr>
        <w:t>① DARPA, "TNT: Targeted Neuroplasticity Training," https://www.darpa.mil/research/programs/targeted-neuroplasticity-training</w:t>
      </w:r>
    </w:p>
    <w:p>
      <w:pPr>
        <w:spacing w:before="0" w:after="0" w:line="560" w:lineRule="exact"/>
        <w:ind w:firstLine="363"/>
      </w:pPr>
      <w:r>
        <w:rPr>
          <w:rFonts w:ascii="仿宋" w:hAnsi="仿宋" w:eastAsia="仿宋"/>
          <w:b w:val="0"/>
          <w:sz w:val="28"/>
        </w:rPr>
        <w:t>② DARPA, "N3: Next-Generation Nonsurgical Neurotechnology," https://www.darpa.mil/research/programs/next-generation-nonsurgical-neurotechnology</w:t>
      </w:r>
    </w:p>
    <w:p>
      <w:pPr>
        <w:spacing w:before="0" w:after="0" w:line="560" w:lineRule="exact"/>
        <w:ind w:firstLine="363"/>
      </w:pPr>
      <w:r>
        <w:rPr>
          <w:rFonts w:ascii="仿宋" w:hAnsi="仿宋" w:eastAsia="仿宋"/>
          <w:b w:val="0"/>
          <w:sz w:val="28"/>
        </w:rPr>
        <w:t>③ DARPA, "SUBNETS," https://www.darpa.mil/research/programs/systems-based-neurotechnology-for-emerging-therapies</w:t>
      </w:r>
    </w:p>
    <w:p>
      <w:pPr>
        <w:spacing w:before="0" w:after="0" w:line="560" w:lineRule="exact"/>
        <w:ind w:firstLine="363"/>
      </w:pPr>
      <w:r>
        <w:rPr>
          <w:rFonts w:ascii="仿宋" w:hAnsi="仿宋" w:eastAsia="仿宋"/>
          <w:b w:val="0"/>
          <w:sz w:val="28"/>
        </w:rPr>
        <w:t>④ DARPA, "RAM: Restoring Active Memory," https://www.darpa.mil/research/programs/restoring-active-memory</w:t>
      </w:r>
    </w:p>
    <w:p>
      <w:pPr>
        <w:spacing w:before="0" w:after="0" w:line="560" w:lineRule="exact"/>
        <w:ind w:firstLine="363"/>
      </w:pPr>
      <w:r>
        <w:rPr>
          <w:rFonts w:ascii="仿宋" w:hAnsi="仿宋" w:eastAsia="仿宋"/>
          <w:b w:val="0"/>
          <w:sz w:val="28"/>
        </w:rPr>
        <w:t>⑤ DARPA, "Biological Technologies Office," https://www.darpa.mil/office/biological-technologies</w:t>
      </w:r>
    </w:p>
    <w:p>
      <w:pPr>
        <w:spacing w:before="0" w:after="0" w:line="560" w:lineRule="exact"/>
        <w:ind w:firstLine="363"/>
      </w:pPr>
      <w:r>
        <w:rPr>
          <w:rFonts w:ascii="仿宋" w:hAnsi="仿宋" w:eastAsia="仿宋"/>
          <w:b w:val="0"/>
          <w:sz w:val="28"/>
        </w:rPr>
        <w:t>⑥ DARPA, "ElectRx," https://www.darpa.mil/research/programs/electrical-prescriptions</w:t>
      </w:r>
    </w:p>
    <w:p>
      <w:pPr>
        <w:spacing w:before="0" w:after="0" w:line="560" w:lineRule="exact"/>
        <w:ind w:firstLine="363"/>
      </w:pPr>
      <w:r>
        <w:rPr>
          <w:rFonts w:ascii="仿宋" w:hAnsi="仿宋" w:eastAsia="仿宋"/>
          <w:b w:val="0"/>
          <w:sz w:val="28"/>
        </w:rPr>
        <w:t>⑦ NATO STO, "Cognitive Warfare," 2021</w:t>
      </w:r>
    </w:p>
    <w:p>
      <w:pPr>
        <w:spacing w:before="0" w:after="0" w:line="560" w:lineRule="exact"/>
        <w:ind w:firstLine="363"/>
      </w:pPr>
      <w:r>
        <w:rPr>
          <w:rFonts w:ascii="仿宋" w:hAnsi="仿宋" w:eastAsia="仿宋"/>
          <w:b w:val="0"/>
          <w:sz w:val="28"/>
        </w:rPr>
        <w:t>⑧ Buckingham SC, et al. "Vagus Nerve Stimulation Enhances Cognitive Performance," Curr Biol, 2022</w:t>
      </w:r>
    </w:p>
    <w:p>
      <w:pPr>
        <w:spacing w:before="0" w:after="0" w:line="560" w:lineRule="exact"/>
        <w:ind w:firstLine="363"/>
      </w:pPr>
      <w:r>
        <w:rPr>
          <w:rFonts w:ascii="仿宋" w:hAnsi="仿宋" w:eastAsia="仿宋"/>
          <w:b w:val="0"/>
          <w:sz w:val="28"/>
        </w:rPr>
        <w:t>⑨ Brainard MS, "Neural Circuits and the Role of Neuromodulators in Learning," Neuron, 2020</w:t>
      </w:r>
    </w:p>
    <w:p>
      <w:pPr>
        <w:spacing w:before="0" w:after="0" w:line="560" w:lineRule="exact"/>
        <w:ind w:firstLine="363"/>
      </w:pPr>
      <w:r>
        <w:rPr>
          <w:rFonts w:ascii="仿宋" w:hAnsi="仿宋" w:eastAsia="仿宋"/>
          <w:b w:val="0"/>
          <w:sz w:val="28"/>
        </w:rPr>
        <w:t>⑩ DARPA, "BTO Programs," https://www.darpa.mil/office/biological-technologies</w:t>
      </w:r>
    </w:p>
    <w:p>
      <w:pPr>
        <w:spacing w:before="0" w:after="0" w:line="560" w:lineRule="exact"/>
        <w:ind w:firstLine="363"/>
      </w:pPr>
      <w:r>
        <w:rPr>
          <w:rFonts w:ascii="仿宋" w:hAnsi="仿宋" w:eastAsia="仿宋"/>
          <w:b w:val="0"/>
          <w:sz w:val="28"/>
        </w:rPr>
        <w:t>⑪ DARPA TNT Proposers Day Announcement</w:t>
      </w:r>
    </w:p>
    <w:p>
      <w:pPr>
        <w:spacing w:before="0" w:after="0" w:line="560" w:lineRule="exact"/>
        <w:ind w:firstLine="363"/>
      </w:pPr>
      <w:r>
        <w:rPr>
          <w:rFonts w:ascii="仿宋" w:hAnsi="仿宋" w:eastAsia="仿宋"/>
          <w:b w:val="0"/>
          <w:sz w:val="28"/>
        </w:rPr>
        <w:t>⑫ DARPA, "BRAIN Initiative," https://www.darpa.mil/</w:t>
      </w:r>
    </w:p>
    <w:p>
      <w:pPr>
        <w:spacing w:before="0" w:after="0" w:line="560" w:lineRule="exact"/>
        <w:ind w:firstLine="363"/>
      </w:pPr>
      <w:r>
        <w:rPr>
          <w:rFonts w:ascii="仿宋" w:hAnsi="仿宋" w:eastAsia="仿宋"/>
          <w:b w:val="0"/>
          <w:sz w:val="28"/>
        </w:rPr>
        <w:t>⑯ Fried PJ, et al. "Non-invasive Brain Stimulation and Cognitive Enhancement," Neurosci Biobehav Rev, 2023</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